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F1E1" w14:textId="77777777" w:rsidR="001B6454" w:rsidRDefault="001B6454">
      <w:pPr>
        <w:widowControl w:val="0"/>
        <w:autoSpaceDE w:val="0"/>
        <w:autoSpaceDN w:val="0"/>
        <w:adjustRightInd w:val="0"/>
        <w:spacing w:line="200" w:lineRule="exact"/>
        <w:rPr>
          <w:rFonts w:ascii="Times New Roman" w:hAnsi="Times New Roman"/>
          <w:szCs w:val="24"/>
        </w:rPr>
      </w:pPr>
    </w:p>
    <w:p w14:paraId="74A623E5" w14:textId="77777777" w:rsidR="001B6454" w:rsidRDefault="001B6454">
      <w:pPr>
        <w:widowControl w:val="0"/>
        <w:autoSpaceDE w:val="0"/>
        <w:autoSpaceDN w:val="0"/>
        <w:adjustRightInd w:val="0"/>
        <w:spacing w:line="200" w:lineRule="exact"/>
        <w:rPr>
          <w:rFonts w:ascii="Times New Roman" w:hAnsi="Times New Roman"/>
          <w:szCs w:val="24"/>
        </w:rPr>
      </w:pPr>
    </w:p>
    <w:p w14:paraId="24BBFC42" w14:textId="77777777" w:rsidR="001B6454" w:rsidRDefault="001B6454">
      <w:pPr>
        <w:widowControl w:val="0"/>
        <w:autoSpaceDE w:val="0"/>
        <w:autoSpaceDN w:val="0"/>
        <w:adjustRightInd w:val="0"/>
        <w:spacing w:line="200" w:lineRule="exact"/>
        <w:rPr>
          <w:rFonts w:ascii="Times New Roman" w:hAnsi="Times New Roman"/>
          <w:szCs w:val="24"/>
        </w:rPr>
      </w:pPr>
    </w:p>
    <w:p w14:paraId="73A2F69D" w14:textId="77777777" w:rsidR="001B6454" w:rsidRDefault="001B6454">
      <w:pPr>
        <w:widowControl w:val="0"/>
        <w:autoSpaceDE w:val="0"/>
        <w:autoSpaceDN w:val="0"/>
        <w:adjustRightInd w:val="0"/>
        <w:spacing w:line="200" w:lineRule="exact"/>
        <w:rPr>
          <w:rFonts w:ascii="Times New Roman" w:hAnsi="Times New Roman"/>
          <w:szCs w:val="24"/>
        </w:rPr>
      </w:pPr>
    </w:p>
    <w:p w14:paraId="4DDBD2A8" w14:textId="77777777" w:rsidR="001B6454" w:rsidRDefault="001B6454">
      <w:pPr>
        <w:widowControl w:val="0"/>
        <w:autoSpaceDE w:val="0"/>
        <w:autoSpaceDN w:val="0"/>
        <w:adjustRightInd w:val="0"/>
        <w:spacing w:line="200" w:lineRule="exact"/>
        <w:rPr>
          <w:rFonts w:ascii="Times New Roman" w:hAnsi="Times New Roman"/>
          <w:szCs w:val="24"/>
        </w:rPr>
      </w:pPr>
    </w:p>
    <w:p w14:paraId="052D46FC" w14:textId="77777777" w:rsidR="001B6454" w:rsidRDefault="001B6454">
      <w:pPr>
        <w:widowControl w:val="0"/>
        <w:autoSpaceDE w:val="0"/>
        <w:autoSpaceDN w:val="0"/>
        <w:adjustRightInd w:val="0"/>
        <w:spacing w:line="200" w:lineRule="exact"/>
        <w:rPr>
          <w:rFonts w:ascii="Times New Roman" w:hAnsi="Times New Roman"/>
          <w:szCs w:val="24"/>
        </w:rPr>
      </w:pPr>
    </w:p>
    <w:p w14:paraId="3508DDC1" w14:textId="77777777" w:rsidR="001B6454" w:rsidRDefault="001B6454">
      <w:pPr>
        <w:widowControl w:val="0"/>
        <w:autoSpaceDE w:val="0"/>
        <w:autoSpaceDN w:val="0"/>
        <w:adjustRightInd w:val="0"/>
        <w:spacing w:line="200" w:lineRule="exact"/>
        <w:rPr>
          <w:rFonts w:ascii="Times New Roman" w:hAnsi="Times New Roman"/>
          <w:szCs w:val="24"/>
        </w:rPr>
      </w:pPr>
    </w:p>
    <w:p w14:paraId="30301566" w14:textId="77777777" w:rsidR="001B6454" w:rsidRDefault="001B6454">
      <w:pPr>
        <w:widowControl w:val="0"/>
        <w:autoSpaceDE w:val="0"/>
        <w:autoSpaceDN w:val="0"/>
        <w:adjustRightInd w:val="0"/>
        <w:spacing w:line="262" w:lineRule="exact"/>
        <w:rPr>
          <w:rFonts w:ascii="Times New Roman" w:hAnsi="Times New Roman"/>
          <w:szCs w:val="24"/>
        </w:rPr>
      </w:pPr>
    </w:p>
    <w:p w14:paraId="3FB1AD31" w14:textId="73753B6F" w:rsidR="001B6454" w:rsidRPr="001A0D86" w:rsidRDefault="001A0D86">
      <w:pPr>
        <w:widowControl w:val="0"/>
        <w:autoSpaceDE w:val="0"/>
        <w:autoSpaceDN w:val="0"/>
        <w:adjustRightInd w:val="0"/>
        <w:rPr>
          <w:rFonts w:cs="Arial"/>
          <w:sz w:val="52"/>
          <w:szCs w:val="52"/>
        </w:rPr>
      </w:pPr>
      <w:r w:rsidRPr="001A0D86">
        <w:rPr>
          <w:rFonts w:cs="Arial"/>
          <w:sz w:val="52"/>
          <w:szCs w:val="52"/>
        </w:rPr>
        <w:t>Part 2A of Form ADV</w:t>
      </w:r>
    </w:p>
    <w:p w14:paraId="1E4E010D"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318B17CE"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401D09A3"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350776DA" w14:textId="77777777" w:rsidR="001B6454" w:rsidRPr="0087276E" w:rsidRDefault="001B6454">
      <w:pPr>
        <w:widowControl w:val="0"/>
        <w:autoSpaceDE w:val="0"/>
        <w:autoSpaceDN w:val="0"/>
        <w:adjustRightInd w:val="0"/>
        <w:spacing w:line="260" w:lineRule="exact"/>
        <w:rPr>
          <w:rFonts w:ascii="Times New Roman" w:hAnsi="Times New Roman"/>
          <w:szCs w:val="24"/>
        </w:rPr>
      </w:pPr>
    </w:p>
    <w:p w14:paraId="7A674B5B" w14:textId="47A318C0" w:rsidR="001B6454" w:rsidRPr="001A0D86" w:rsidRDefault="00134E0F">
      <w:pPr>
        <w:widowControl w:val="0"/>
        <w:autoSpaceDE w:val="0"/>
        <w:autoSpaceDN w:val="0"/>
        <w:adjustRightInd w:val="0"/>
        <w:rPr>
          <w:szCs w:val="24"/>
        </w:rPr>
      </w:pPr>
      <w:r>
        <w:rPr>
          <w:rFonts w:cs="Arial"/>
          <w:sz w:val="32"/>
          <w:szCs w:val="32"/>
        </w:rPr>
        <w:t>September 1</w:t>
      </w:r>
      <w:r w:rsidR="008C44D0">
        <w:rPr>
          <w:rFonts w:cs="Arial"/>
          <w:sz w:val="32"/>
          <w:szCs w:val="32"/>
        </w:rPr>
        <w:t>, 2025</w:t>
      </w:r>
    </w:p>
    <w:p w14:paraId="67C2CACE" w14:textId="77777777" w:rsidR="001B6454" w:rsidRPr="0087276E" w:rsidRDefault="001B6454">
      <w:pPr>
        <w:widowControl w:val="0"/>
        <w:autoSpaceDE w:val="0"/>
        <w:autoSpaceDN w:val="0"/>
        <w:adjustRightInd w:val="0"/>
        <w:spacing w:line="200" w:lineRule="exact"/>
        <w:rPr>
          <w:rFonts w:ascii="Times New Roman" w:hAnsi="Times New Roman"/>
          <w:szCs w:val="24"/>
        </w:rPr>
      </w:pPr>
    </w:p>
    <w:p w14:paraId="36EB3EA4"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79CEF271"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1337C33A" w14:textId="77777777" w:rsidR="001B6454" w:rsidRPr="00BA69CA" w:rsidRDefault="001B6454">
      <w:pPr>
        <w:widowControl w:val="0"/>
        <w:autoSpaceDE w:val="0"/>
        <w:autoSpaceDN w:val="0"/>
        <w:adjustRightInd w:val="0"/>
        <w:spacing w:line="216" w:lineRule="exact"/>
        <w:rPr>
          <w:rFonts w:ascii="Times New Roman" w:hAnsi="Times New Roman"/>
          <w:szCs w:val="24"/>
        </w:rPr>
      </w:pPr>
    </w:p>
    <w:p w14:paraId="5D494A61" w14:textId="4726DCE2" w:rsidR="001B6454" w:rsidRPr="001A0D86" w:rsidRDefault="00184969">
      <w:pPr>
        <w:widowControl w:val="0"/>
        <w:autoSpaceDE w:val="0"/>
        <w:autoSpaceDN w:val="0"/>
        <w:adjustRightInd w:val="0"/>
        <w:rPr>
          <w:rFonts w:cs="Arial"/>
          <w:sz w:val="40"/>
          <w:szCs w:val="40"/>
        </w:rPr>
      </w:pPr>
      <w:r w:rsidRPr="001A0D86">
        <w:rPr>
          <w:rFonts w:cs="Arial"/>
          <w:sz w:val="40"/>
          <w:szCs w:val="40"/>
        </w:rPr>
        <w:t>Financial Planning Hawaii, Inc.</w:t>
      </w:r>
    </w:p>
    <w:p w14:paraId="5FB761EC" w14:textId="77777777" w:rsidR="001B6454" w:rsidRPr="00BA69CA" w:rsidRDefault="001B6454">
      <w:pPr>
        <w:widowControl w:val="0"/>
        <w:autoSpaceDE w:val="0"/>
        <w:autoSpaceDN w:val="0"/>
        <w:adjustRightInd w:val="0"/>
        <w:spacing w:line="16" w:lineRule="exact"/>
        <w:rPr>
          <w:rFonts w:ascii="Times New Roman" w:hAnsi="Times New Roman"/>
          <w:szCs w:val="24"/>
        </w:rPr>
      </w:pPr>
    </w:p>
    <w:p w14:paraId="19349026" w14:textId="77777777" w:rsidR="001B6454" w:rsidRPr="001A0D86" w:rsidRDefault="00184969">
      <w:pPr>
        <w:widowControl w:val="0"/>
        <w:autoSpaceDE w:val="0"/>
        <w:autoSpaceDN w:val="0"/>
        <w:adjustRightInd w:val="0"/>
        <w:rPr>
          <w:szCs w:val="24"/>
        </w:rPr>
      </w:pPr>
      <w:r w:rsidRPr="001A0D86">
        <w:rPr>
          <w:rFonts w:cs="Arial"/>
          <w:sz w:val="28"/>
          <w:szCs w:val="28"/>
        </w:rPr>
        <w:t>CRD number: 153930</w:t>
      </w:r>
    </w:p>
    <w:p w14:paraId="108ACD7C"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37F9D30F"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0622A518"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7A24377F"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5A7202AA" w14:textId="77777777" w:rsidR="001B6454" w:rsidRPr="00BA69CA" w:rsidRDefault="001B6454">
      <w:pPr>
        <w:widowControl w:val="0"/>
        <w:autoSpaceDE w:val="0"/>
        <w:autoSpaceDN w:val="0"/>
        <w:adjustRightInd w:val="0"/>
        <w:spacing w:line="304" w:lineRule="exact"/>
        <w:rPr>
          <w:rFonts w:ascii="Times New Roman" w:hAnsi="Times New Roman"/>
          <w:szCs w:val="24"/>
        </w:rPr>
      </w:pPr>
    </w:p>
    <w:p w14:paraId="62DD1397" w14:textId="3F9172EB" w:rsidR="005A1B7F" w:rsidRPr="001A0D86" w:rsidRDefault="0084560F">
      <w:pPr>
        <w:widowControl w:val="0"/>
        <w:autoSpaceDE w:val="0"/>
        <w:autoSpaceDN w:val="0"/>
        <w:adjustRightInd w:val="0"/>
        <w:rPr>
          <w:rFonts w:cs="Arial"/>
          <w:szCs w:val="24"/>
        </w:rPr>
      </w:pPr>
      <w:r w:rsidRPr="001A0D86">
        <w:rPr>
          <w:rFonts w:cs="Arial"/>
          <w:szCs w:val="24"/>
        </w:rPr>
        <w:t>677 Ala Moana Blvd</w:t>
      </w:r>
      <w:r w:rsidR="005A1B7F" w:rsidRPr="001A0D86">
        <w:rPr>
          <w:rFonts w:cs="Arial"/>
          <w:szCs w:val="24"/>
        </w:rPr>
        <w:t>.</w:t>
      </w:r>
    </w:p>
    <w:p w14:paraId="56456DE8" w14:textId="7C57CC6F" w:rsidR="001B6454" w:rsidRPr="001A0D86" w:rsidRDefault="005A1B7F">
      <w:pPr>
        <w:widowControl w:val="0"/>
        <w:autoSpaceDE w:val="0"/>
        <w:autoSpaceDN w:val="0"/>
        <w:adjustRightInd w:val="0"/>
        <w:rPr>
          <w:szCs w:val="24"/>
        </w:rPr>
      </w:pPr>
      <w:r w:rsidRPr="001A0D86">
        <w:rPr>
          <w:rFonts w:cs="Arial"/>
          <w:szCs w:val="24"/>
        </w:rPr>
        <w:t xml:space="preserve">Suite </w:t>
      </w:r>
      <w:r w:rsidR="0084560F" w:rsidRPr="001A0D86">
        <w:rPr>
          <w:rFonts w:cs="Arial"/>
          <w:szCs w:val="24"/>
        </w:rPr>
        <w:t>605</w:t>
      </w:r>
    </w:p>
    <w:p w14:paraId="40964642" w14:textId="297964EC" w:rsidR="001B6454" w:rsidRPr="001A0D86" w:rsidRDefault="00184969">
      <w:pPr>
        <w:widowControl w:val="0"/>
        <w:autoSpaceDE w:val="0"/>
        <w:autoSpaceDN w:val="0"/>
        <w:adjustRightInd w:val="0"/>
        <w:rPr>
          <w:szCs w:val="24"/>
        </w:rPr>
      </w:pPr>
      <w:r w:rsidRPr="001A0D86">
        <w:rPr>
          <w:rFonts w:cs="Arial"/>
          <w:szCs w:val="24"/>
        </w:rPr>
        <w:t>Honolulu, HI 968</w:t>
      </w:r>
      <w:r w:rsidR="0084560F" w:rsidRPr="001A0D86">
        <w:rPr>
          <w:rFonts w:cs="Arial"/>
          <w:szCs w:val="24"/>
        </w:rPr>
        <w:t>13</w:t>
      </w:r>
    </w:p>
    <w:p w14:paraId="601217CF" w14:textId="21026568" w:rsidR="001B6454" w:rsidRPr="001A0D86" w:rsidRDefault="00755F38">
      <w:pPr>
        <w:widowControl w:val="0"/>
        <w:autoSpaceDE w:val="0"/>
        <w:autoSpaceDN w:val="0"/>
        <w:adjustRightInd w:val="0"/>
        <w:rPr>
          <w:szCs w:val="24"/>
        </w:rPr>
      </w:pPr>
      <w:r w:rsidRPr="001A0D86">
        <w:rPr>
          <w:rFonts w:cs="Arial"/>
          <w:szCs w:val="24"/>
        </w:rPr>
        <w:t>Office</w:t>
      </w:r>
      <w:r w:rsidR="00184969" w:rsidRPr="001A0D86">
        <w:rPr>
          <w:rFonts w:cs="Arial"/>
          <w:szCs w:val="24"/>
        </w:rPr>
        <w:t xml:space="preserve"> (808)564-</w:t>
      </w:r>
      <w:r w:rsidR="00FD4DDF" w:rsidRPr="001A0D86">
        <w:rPr>
          <w:rFonts w:cs="Arial"/>
          <w:szCs w:val="24"/>
        </w:rPr>
        <w:t>065</w:t>
      </w:r>
      <w:r w:rsidR="00FD4DDF">
        <w:rPr>
          <w:rFonts w:cs="Arial"/>
          <w:szCs w:val="24"/>
        </w:rPr>
        <w:t>8</w:t>
      </w:r>
    </w:p>
    <w:p w14:paraId="31284521" w14:textId="7399EFA9" w:rsidR="001B6454" w:rsidRPr="001A0D86" w:rsidRDefault="00184969">
      <w:pPr>
        <w:widowControl w:val="0"/>
        <w:autoSpaceDE w:val="0"/>
        <w:autoSpaceDN w:val="0"/>
        <w:adjustRightInd w:val="0"/>
        <w:rPr>
          <w:szCs w:val="24"/>
        </w:rPr>
      </w:pPr>
      <w:r w:rsidRPr="001A0D86">
        <w:rPr>
          <w:rFonts w:cs="Arial"/>
          <w:szCs w:val="24"/>
        </w:rPr>
        <w:t xml:space="preserve">Fax (808) </w:t>
      </w:r>
      <w:r w:rsidR="00DF500B" w:rsidRPr="001A0D86">
        <w:rPr>
          <w:rFonts w:cs="Arial"/>
          <w:szCs w:val="24"/>
        </w:rPr>
        <w:t>466-40</w:t>
      </w:r>
      <w:r w:rsidR="00EE6545" w:rsidRPr="001A0D86">
        <w:rPr>
          <w:rFonts w:cs="Arial"/>
          <w:szCs w:val="24"/>
        </w:rPr>
        <w:t>52</w:t>
      </w:r>
    </w:p>
    <w:p w14:paraId="70F0D029" w14:textId="3020B9BD" w:rsidR="001B6454" w:rsidRPr="001A0D86" w:rsidRDefault="004D4A60">
      <w:pPr>
        <w:widowControl w:val="0"/>
        <w:autoSpaceDE w:val="0"/>
        <w:autoSpaceDN w:val="0"/>
        <w:adjustRightInd w:val="0"/>
        <w:rPr>
          <w:szCs w:val="24"/>
        </w:rPr>
      </w:pPr>
      <w:r w:rsidRPr="001A0D86">
        <w:rPr>
          <w:rFonts w:cs="Arial"/>
          <w:color w:val="0000FF"/>
          <w:szCs w:val="24"/>
          <w:u w:val="single"/>
        </w:rPr>
        <w:t>www.feeonlyplanninghawaii.com</w:t>
      </w:r>
    </w:p>
    <w:p w14:paraId="616EB88B"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6FAA8BE1"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7CC51957"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306A204F" w14:textId="77777777" w:rsidR="001B6454" w:rsidRPr="00BA69CA" w:rsidRDefault="001B6454">
      <w:pPr>
        <w:widowControl w:val="0"/>
        <w:autoSpaceDE w:val="0"/>
        <w:autoSpaceDN w:val="0"/>
        <w:adjustRightInd w:val="0"/>
        <w:spacing w:line="234" w:lineRule="exact"/>
        <w:rPr>
          <w:rFonts w:ascii="Times New Roman" w:hAnsi="Times New Roman"/>
          <w:szCs w:val="24"/>
        </w:rPr>
      </w:pPr>
    </w:p>
    <w:p w14:paraId="0041D9F3" w14:textId="77777777" w:rsidR="001A0D86" w:rsidRDefault="001A0D86">
      <w:pPr>
        <w:widowControl w:val="0"/>
        <w:overflowPunct w:val="0"/>
        <w:autoSpaceDE w:val="0"/>
        <w:autoSpaceDN w:val="0"/>
        <w:adjustRightInd w:val="0"/>
        <w:spacing w:line="251" w:lineRule="auto"/>
        <w:ind w:right="120"/>
        <w:rPr>
          <w:rFonts w:ascii="Arial" w:hAnsi="Arial" w:cs="Arial"/>
          <w:i/>
          <w:iCs/>
          <w:sz w:val="18"/>
          <w:szCs w:val="18"/>
        </w:rPr>
      </w:pPr>
    </w:p>
    <w:p w14:paraId="7BCAC3B8" w14:textId="77777777" w:rsidR="001A0D86" w:rsidRDefault="001A0D86">
      <w:pPr>
        <w:widowControl w:val="0"/>
        <w:overflowPunct w:val="0"/>
        <w:autoSpaceDE w:val="0"/>
        <w:autoSpaceDN w:val="0"/>
        <w:adjustRightInd w:val="0"/>
        <w:spacing w:line="251" w:lineRule="auto"/>
        <w:ind w:right="120"/>
        <w:rPr>
          <w:rFonts w:ascii="Arial" w:hAnsi="Arial" w:cs="Arial"/>
          <w:i/>
          <w:iCs/>
          <w:sz w:val="18"/>
          <w:szCs w:val="18"/>
        </w:rPr>
      </w:pPr>
    </w:p>
    <w:p w14:paraId="5D49FCD1" w14:textId="77777777" w:rsidR="001A0D86" w:rsidRDefault="001A0D86">
      <w:pPr>
        <w:widowControl w:val="0"/>
        <w:overflowPunct w:val="0"/>
        <w:autoSpaceDE w:val="0"/>
        <w:autoSpaceDN w:val="0"/>
        <w:adjustRightInd w:val="0"/>
        <w:spacing w:line="251" w:lineRule="auto"/>
        <w:ind w:right="120"/>
        <w:rPr>
          <w:rFonts w:ascii="Arial" w:hAnsi="Arial" w:cs="Arial"/>
          <w:i/>
          <w:iCs/>
          <w:sz w:val="18"/>
          <w:szCs w:val="18"/>
        </w:rPr>
      </w:pPr>
    </w:p>
    <w:p w14:paraId="6AD48AB5" w14:textId="77777777" w:rsidR="001A0D86" w:rsidRDefault="001A0D86">
      <w:pPr>
        <w:widowControl w:val="0"/>
        <w:overflowPunct w:val="0"/>
        <w:autoSpaceDE w:val="0"/>
        <w:autoSpaceDN w:val="0"/>
        <w:adjustRightInd w:val="0"/>
        <w:spacing w:line="251" w:lineRule="auto"/>
        <w:ind w:right="120"/>
        <w:rPr>
          <w:rFonts w:ascii="Arial" w:hAnsi="Arial" w:cs="Arial"/>
          <w:i/>
          <w:iCs/>
          <w:sz w:val="18"/>
          <w:szCs w:val="18"/>
        </w:rPr>
      </w:pPr>
    </w:p>
    <w:p w14:paraId="4AAE2A07" w14:textId="3311D71B" w:rsidR="001A0D86" w:rsidRPr="001A0D86" w:rsidRDefault="00184969" w:rsidP="001A0D86">
      <w:pPr>
        <w:widowControl w:val="0"/>
        <w:overflowPunct w:val="0"/>
        <w:autoSpaceDE w:val="0"/>
        <w:autoSpaceDN w:val="0"/>
        <w:adjustRightInd w:val="0"/>
        <w:ind w:right="160"/>
        <w:rPr>
          <w:szCs w:val="24"/>
        </w:rPr>
      </w:pPr>
      <w:r w:rsidRPr="001A0D86">
        <w:rPr>
          <w:rFonts w:cs="Arial"/>
          <w:szCs w:val="24"/>
        </w:rPr>
        <w:t>This brochure provides information about the qualifications and business practices of Financial Planning Hawaii, Inc. (“FPH”). If you have any questions about the contents of this brochure, please contact John Robinson at (808) 564-</w:t>
      </w:r>
      <w:r w:rsidR="00FD4DDF" w:rsidRPr="001A0D86">
        <w:rPr>
          <w:rFonts w:cs="Arial"/>
          <w:szCs w:val="24"/>
        </w:rPr>
        <w:t>065</w:t>
      </w:r>
      <w:r w:rsidR="00FD4DDF">
        <w:rPr>
          <w:rFonts w:cs="Arial"/>
          <w:szCs w:val="24"/>
        </w:rPr>
        <w:t>8</w:t>
      </w:r>
      <w:r w:rsidR="00FD4DDF" w:rsidRPr="001A0D86">
        <w:rPr>
          <w:rFonts w:cs="Arial"/>
          <w:szCs w:val="24"/>
        </w:rPr>
        <w:t xml:space="preserve"> </w:t>
      </w:r>
      <w:r w:rsidRPr="001A0D86">
        <w:rPr>
          <w:rFonts w:cs="Arial"/>
          <w:szCs w:val="24"/>
        </w:rPr>
        <w:t>and/or via jr@fphawaii.com. The information in this brochure has not been approved or verified by the United States Securities and Exchange Commission or by any state securities authority.</w:t>
      </w:r>
      <w:r w:rsidR="001A0D86" w:rsidRPr="001A0D86">
        <w:rPr>
          <w:rFonts w:cs="Arial"/>
          <w:szCs w:val="24"/>
        </w:rPr>
        <w:t xml:space="preserve"> Although FPH may use the term “registered investment adviser” or use the term “registered” through this Form ADV Part 2A, the use of these terms is not intended to imply a certain level of skill or training.</w:t>
      </w:r>
    </w:p>
    <w:p w14:paraId="72663A5B" w14:textId="168F2D68" w:rsidR="001B6454" w:rsidRPr="001A0D86" w:rsidRDefault="001B6454" w:rsidP="001A0D86">
      <w:pPr>
        <w:widowControl w:val="0"/>
        <w:overflowPunct w:val="0"/>
        <w:autoSpaceDE w:val="0"/>
        <w:autoSpaceDN w:val="0"/>
        <w:adjustRightInd w:val="0"/>
        <w:spacing w:line="251" w:lineRule="auto"/>
        <w:rPr>
          <w:szCs w:val="24"/>
        </w:rPr>
      </w:pPr>
    </w:p>
    <w:p w14:paraId="56D9B616" w14:textId="77777777" w:rsidR="001B6454" w:rsidRPr="001A0D86" w:rsidRDefault="001B6454">
      <w:pPr>
        <w:widowControl w:val="0"/>
        <w:autoSpaceDE w:val="0"/>
        <w:autoSpaceDN w:val="0"/>
        <w:adjustRightInd w:val="0"/>
        <w:spacing w:line="169" w:lineRule="exact"/>
        <w:rPr>
          <w:szCs w:val="24"/>
        </w:rPr>
      </w:pPr>
    </w:p>
    <w:p w14:paraId="792B3BBC" w14:textId="02D54A7C" w:rsidR="001B6454" w:rsidRPr="001A0D86" w:rsidRDefault="00184969">
      <w:pPr>
        <w:widowControl w:val="0"/>
        <w:autoSpaceDE w:val="0"/>
        <w:autoSpaceDN w:val="0"/>
        <w:adjustRightInd w:val="0"/>
        <w:rPr>
          <w:szCs w:val="24"/>
        </w:rPr>
      </w:pPr>
      <w:r w:rsidRPr="001A0D86">
        <w:rPr>
          <w:rFonts w:cs="Arial"/>
          <w:szCs w:val="24"/>
        </w:rPr>
        <w:t xml:space="preserve">Additional information about FPH </w:t>
      </w:r>
      <w:r w:rsidR="001A0D86" w:rsidRPr="001A0D86">
        <w:rPr>
          <w:rFonts w:cs="Arial"/>
          <w:szCs w:val="24"/>
        </w:rPr>
        <w:t>is also</w:t>
      </w:r>
      <w:r w:rsidRPr="001A0D86">
        <w:rPr>
          <w:rFonts w:cs="Arial"/>
          <w:szCs w:val="24"/>
        </w:rPr>
        <w:t xml:space="preserve"> available on the SEC’s website at</w:t>
      </w:r>
      <w:r w:rsidR="001A0D86">
        <w:rPr>
          <w:rFonts w:cs="Arial"/>
          <w:szCs w:val="24"/>
        </w:rPr>
        <w:t xml:space="preserve"> </w:t>
      </w:r>
      <w:r w:rsidRPr="001A0D86">
        <w:rPr>
          <w:rFonts w:cs="Arial"/>
          <w:color w:val="0000FF"/>
          <w:szCs w:val="24"/>
          <w:u w:val="single"/>
        </w:rPr>
        <w:t>www.adviserinfo.sec.gov</w:t>
      </w:r>
      <w:r w:rsidRPr="001A0D86">
        <w:rPr>
          <w:rFonts w:cs="Arial"/>
          <w:szCs w:val="24"/>
        </w:rPr>
        <w:t>.</w:t>
      </w:r>
    </w:p>
    <w:p w14:paraId="7F6E5B46" w14:textId="31699AA6" w:rsidR="00A97A37" w:rsidRPr="00BA69CA" w:rsidRDefault="00A97A37">
      <w:pPr>
        <w:widowControl w:val="0"/>
        <w:autoSpaceDE w:val="0"/>
        <w:autoSpaceDN w:val="0"/>
        <w:adjustRightInd w:val="0"/>
        <w:rPr>
          <w:rFonts w:ascii="Times New Roman" w:hAnsi="Times New Roman"/>
          <w:szCs w:val="24"/>
        </w:rPr>
        <w:sectPr w:rsidR="00A97A37" w:rsidRPr="00BA69CA" w:rsidSect="000E55D5">
          <w:footerReference w:type="default" r:id="rId7"/>
          <w:type w:val="continuous"/>
          <w:pgSz w:w="12240" w:h="15840" w:code="1"/>
          <w:pgMar w:top="1440" w:right="1440" w:bottom="778" w:left="1440" w:header="720" w:footer="720" w:gutter="0"/>
          <w:cols w:space="720" w:equalWidth="0">
            <w:col w:w="9360"/>
          </w:cols>
          <w:noEndnote/>
        </w:sectPr>
      </w:pPr>
    </w:p>
    <w:p w14:paraId="47B078ED" w14:textId="43788F85" w:rsidR="001B6454" w:rsidRPr="00BA69CA" w:rsidRDefault="00BE50A5" w:rsidP="00612CF5">
      <w:pPr>
        <w:pStyle w:val="Heading1"/>
        <w:rPr>
          <w:rFonts w:ascii="Times New Roman" w:hAnsi="Times New Roman"/>
        </w:rPr>
      </w:pPr>
      <w:bookmarkStart w:id="0" w:name="_Toc208132655"/>
      <w:r>
        <w:lastRenderedPageBreak/>
        <w:t xml:space="preserve">Item 2 – </w:t>
      </w:r>
      <w:r w:rsidR="00B94A7A">
        <w:t>Material Changes</w:t>
      </w:r>
      <w:bookmarkEnd w:id="0"/>
      <w:r>
        <w:t xml:space="preserve"> </w:t>
      </w:r>
    </w:p>
    <w:p w14:paraId="581BF689" w14:textId="77777777" w:rsidR="001B6454" w:rsidRPr="00BA69CA" w:rsidRDefault="00F03077">
      <w:pPr>
        <w:widowControl w:val="0"/>
        <w:autoSpaceDE w:val="0"/>
        <w:autoSpaceDN w:val="0"/>
        <w:adjustRightInd w:val="0"/>
        <w:spacing w:line="307" w:lineRule="exact"/>
        <w:rPr>
          <w:rFonts w:ascii="Times New Roman" w:hAnsi="Times New Roman"/>
          <w:szCs w:val="24"/>
        </w:rPr>
      </w:pPr>
      <w:r w:rsidRPr="00BA69CA">
        <w:rPr>
          <w:noProof/>
        </w:rPr>
        <mc:AlternateContent>
          <mc:Choice Requires="wps">
            <w:drawing>
              <wp:anchor distT="0" distB="0" distL="114300" distR="114300" simplePos="0" relativeHeight="251643904" behindDoc="1" locked="0" layoutInCell="0" allowOverlap="1" wp14:anchorId="7140CD43" wp14:editId="5E0F8424">
                <wp:simplePos x="0" y="0"/>
                <wp:positionH relativeFrom="column">
                  <wp:posOffset>-19050</wp:posOffset>
                </wp:positionH>
                <wp:positionV relativeFrom="paragraph">
                  <wp:posOffset>26670</wp:posOffset>
                </wp:positionV>
                <wp:extent cx="5981700" cy="0"/>
                <wp:effectExtent l="0" t="0" r="0" b="0"/>
                <wp:wrapNone/>
                <wp:docPr id="2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50A4DB" id="Line 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pt" to="469.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icb2odwAAAAGAQAADwAAAGRycy9kb3ducmV2LnhtbEyPy07D&#10;MBBF90j9B2sqsWsdWgRJiFMhEEhdoKoPsXbjIQmJx1HsNunfM7Chy6M7uvdMthptK87Y+9qRgrt5&#10;BAKpcKamUsFh/zaLQfigyejWESq4oIdVPrnJdGrcQFs870IpuIR8qhVUIXSplL6o0Go/dx0SZ1+u&#10;tzow9qU0vR643LZyEUUP0uqaeKHSHb5UWDS7k1XwEctXt2k+i8v3sH+P43WTPK4PSt1Ox+cnEAHH&#10;8H8Mv/qsDjk7Hd2JjBetgtmSXwkK7hcgOE6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CJxvah3AAAAAYBAAAPAAAAAAAAAAAAAAAAAAkEAABkcnMvZG93bnJldi54&#10;bWxQSwUGAAAAAAQABADzAAAAEgUAAAAA&#10;" o:allowincell="f" strokeweight=".48pt"/>
            </w:pict>
          </mc:Fallback>
        </mc:AlternateContent>
      </w:r>
    </w:p>
    <w:p w14:paraId="2B5CECE1" w14:textId="77777777" w:rsidR="00612CF5" w:rsidRPr="00BA69CA" w:rsidRDefault="00612CF5" w:rsidP="00612CF5">
      <w:pPr>
        <w:rPr>
          <w:u w:val="single"/>
        </w:rPr>
      </w:pPr>
    </w:p>
    <w:p w14:paraId="4B7C8AF6" w14:textId="34AD0026" w:rsidR="005D295A" w:rsidRPr="005D295A" w:rsidRDefault="005D295A" w:rsidP="00612CF5">
      <w:r w:rsidRPr="005D295A">
        <w:t>Since the previous annual update</w:t>
      </w:r>
      <w:r>
        <w:t xml:space="preserve"> (</w:t>
      </w:r>
      <w:r w:rsidR="005E7A3E">
        <w:t>March 2024</w:t>
      </w:r>
      <w:r w:rsidR="002A59B3">
        <w:t>), there have been no material changes to the firm’s advisory business or practices.</w:t>
      </w:r>
    </w:p>
    <w:p w14:paraId="56FE5879" w14:textId="74136794" w:rsidR="00A372E5" w:rsidRPr="00372E70" w:rsidRDefault="00A372E5" w:rsidP="00372E70">
      <w:pPr>
        <w:rPr>
          <w:rFonts w:ascii="Arial" w:hAnsi="Arial" w:cs="Arial"/>
          <w:sz w:val="20"/>
          <w:szCs w:val="20"/>
        </w:rPr>
      </w:pPr>
    </w:p>
    <w:p w14:paraId="3930D18B" w14:textId="25FAD944" w:rsidR="00DD45F5" w:rsidRPr="00BA69CA" w:rsidRDefault="00184969" w:rsidP="00612CF5">
      <w:pPr>
        <w:rPr>
          <w:rFonts w:ascii="Times New Roman" w:hAnsi="Times New Roman"/>
          <w:szCs w:val="24"/>
        </w:rPr>
      </w:pPr>
      <w:r w:rsidRPr="00BA69CA">
        <w:t>Clients who would like to receive a complete copy of our Firm Brochure, please contact us by telephone at (808)564-</w:t>
      </w:r>
      <w:r w:rsidR="00FD4DDF" w:rsidRPr="00BA69CA">
        <w:t>065</w:t>
      </w:r>
      <w:r w:rsidR="00FD4DDF">
        <w:t>8</w:t>
      </w:r>
      <w:r w:rsidRPr="00BA69CA">
        <w:t>.</w:t>
      </w:r>
    </w:p>
    <w:p w14:paraId="20E395DE" w14:textId="77777777" w:rsidR="00DD45F5" w:rsidRPr="00BA69CA" w:rsidRDefault="00DD45F5" w:rsidP="00DD45F5">
      <w:pPr>
        <w:widowControl w:val="0"/>
        <w:autoSpaceDE w:val="0"/>
        <w:autoSpaceDN w:val="0"/>
        <w:adjustRightInd w:val="0"/>
        <w:spacing w:line="393" w:lineRule="exact"/>
        <w:rPr>
          <w:rFonts w:ascii="Times New Roman" w:hAnsi="Times New Roman"/>
          <w:szCs w:val="24"/>
        </w:rPr>
      </w:pPr>
    </w:p>
    <w:p w14:paraId="55F92D5B" w14:textId="77777777" w:rsidR="008351CE" w:rsidRPr="00BA69CA" w:rsidRDefault="008351CE" w:rsidP="00DD45F5">
      <w:pPr>
        <w:widowControl w:val="0"/>
        <w:autoSpaceDE w:val="0"/>
        <w:autoSpaceDN w:val="0"/>
        <w:adjustRightInd w:val="0"/>
        <w:spacing w:line="393" w:lineRule="exact"/>
        <w:rPr>
          <w:rFonts w:ascii="Times New Roman" w:hAnsi="Times New Roman"/>
          <w:szCs w:val="24"/>
        </w:rPr>
      </w:pPr>
    </w:p>
    <w:p w14:paraId="27411EC0" w14:textId="77777777" w:rsidR="00DD45F5" w:rsidRPr="00BA69CA" w:rsidRDefault="00DD45F5" w:rsidP="00DD45F5">
      <w:pPr>
        <w:widowControl w:val="0"/>
        <w:autoSpaceDE w:val="0"/>
        <w:autoSpaceDN w:val="0"/>
        <w:adjustRightInd w:val="0"/>
        <w:spacing w:line="393" w:lineRule="exact"/>
        <w:rPr>
          <w:rFonts w:ascii="Times New Roman" w:hAnsi="Times New Roman"/>
          <w:szCs w:val="24"/>
        </w:rPr>
      </w:pPr>
    </w:p>
    <w:p w14:paraId="08457D93" w14:textId="77777777" w:rsidR="00DD45F5" w:rsidRPr="00BA69CA" w:rsidRDefault="00DD45F5" w:rsidP="00DD45F5">
      <w:pPr>
        <w:widowControl w:val="0"/>
        <w:autoSpaceDE w:val="0"/>
        <w:autoSpaceDN w:val="0"/>
        <w:adjustRightInd w:val="0"/>
        <w:spacing w:line="393" w:lineRule="exact"/>
        <w:rPr>
          <w:rFonts w:ascii="Times New Roman" w:hAnsi="Times New Roman"/>
          <w:szCs w:val="24"/>
        </w:rPr>
      </w:pPr>
    </w:p>
    <w:p w14:paraId="3B01DB3C" w14:textId="77777777" w:rsidR="00F03077" w:rsidRPr="00BA69CA" w:rsidRDefault="00F03077">
      <w:pPr>
        <w:widowControl w:val="0"/>
        <w:autoSpaceDE w:val="0"/>
        <w:autoSpaceDN w:val="0"/>
        <w:adjustRightInd w:val="0"/>
        <w:spacing w:line="393" w:lineRule="exact"/>
        <w:rPr>
          <w:rFonts w:ascii="Times New Roman" w:hAnsi="Times New Roman"/>
          <w:szCs w:val="24"/>
        </w:rPr>
        <w:sectPr w:rsidR="00F03077" w:rsidRPr="00BA69CA" w:rsidSect="000E55D5">
          <w:type w:val="continuous"/>
          <w:pgSz w:w="12240" w:h="15840" w:code="1"/>
          <w:pgMar w:top="1423" w:right="1440" w:bottom="778" w:left="1440" w:header="720" w:footer="720" w:gutter="0"/>
          <w:cols w:space="720" w:equalWidth="0">
            <w:col w:w="9360"/>
          </w:cols>
          <w:noEndnote/>
        </w:sectPr>
      </w:pPr>
    </w:p>
    <w:p w14:paraId="66F2A9D5" w14:textId="77777777" w:rsidR="001B6454" w:rsidRPr="00BA69CA" w:rsidRDefault="001B6454">
      <w:pPr>
        <w:widowControl w:val="0"/>
        <w:autoSpaceDE w:val="0"/>
        <w:autoSpaceDN w:val="0"/>
        <w:adjustRightInd w:val="0"/>
        <w:rPr>
          <w:rFonts w:ascii="Times New Roman" w:hAnsi="Times New Roman"/>
          <w:szCs w:val="24"/>
        </w:rPr>
        <w:sectPr w:rsidR="001B6454" w:rsidRPr="00BA69CA" w:rsidSect="000E55D5">
          <w:pgSz w:w="12240" w:h="15840" w:code="1"/>
          <w:pgMar w:top="1423" w:right="1440" w:bottom="778" w:left="1440" w:header="720" w:footer="720" w:gutter="0"/>
          <w:cols w:space="720" w:equalWidth="0">
            <w:col w:w="9360"/>
          </w:cols>
          <w:noEndnote/>
        </w:sectPr>
      </w:pPr>
    </w:p>
    <w:sdt>
      <w:sdtPr>
        <w:rPr>
          <w:rFonts w:ascii="Calibri" w:eastAsia="Times New Roman" w:hAnsi="Calibri" w:cs="Times New Roman"/>
          <w:color w:val="auto"/>
          <w:sz w:val="22"/>
          <w:szCs w:val="22"/>
        </w:rPr>
        <w:id w:val="-612282792"/>
        <w:docPartObj>
          <w:docPartGallery w:val="Table of Contents"/>
          <w:docPartUnique/>
        </w:docPartObj>
      </w:sdtPr>
      <w:sdtEndPr>
        <w:rPr>
          <w:rFonts w:ascii="Garamond" w:hAnsi="Garamond"/>
          <w:b/>
          <w:bCs/>
          <w:noProof/>
          <w:sz w:val="24"/>
        </w:rPr>
      </w:sdtEndPr>
      <w:sdtContent>
        <w:p w14:paraId="0F2BCC82" w14:textId="059D81AF" w:rsidR="008C70E7" w:rsidRPr="00AF7C47" w:rsidRDefault="008C70E7">
          <w:pPr>
            <w:pStyle w:val="TOCHeading"/>
            <w:rPr>
              <w:rStyle w:val="Heading1Char"/>
            </w:rPr>
          </w:pPr>
          <w:r w:rsidRPr="00AF7C47">
            <w:rPr>
              <w:rStyle w:val="Heading1Char"/>
            </w:rPr>
            <w:t>Item 3 – Table of Contents</w:t>
          </w:r>
        </w:p>
        <w:p w14:paraId="6CE7A5CE" w14:textId="63B4E6B3" w:rsidR="008E52B2" w:rsidRDefault="008C70E7">
          <w:pPr>
            <w:pStyle w:val="TOC1"/>
            <w:rPr>
              <w:rFonts w:asciiTheme="minorHAnsi" w:eastAsiaTheme="minorEastAsia" w:hAnsiTheme="minorHAnsi" w:cstheme="minorBidi"/>
              <w:noProof/>
              <w:kern w:val="2"/>
              <w:szCs w:val="24"/>
              <w14:ligatures w14:val="standardContextual"/>
            </w:rPr>
          </w:pPr>
          <w:r>
            <w:fldChar w:fldCharType="begin"/>
          </w:r>
          <w:r>
            <w:instrText xml:space="preserve"> TOC \o "1-3" \h \z \u </w:instrText>
          </w:r>
          <w:r>
            <w:fldChar w:fldCharType="separate"/>
          </w:r>
          <w:hyperlink w:anchor="_Toc208132655" w:history="1">
            <w:r w:rsidR="008E52B2" w:rsidRPr="00DF1AF6">
              <w:rPr>
                <w:rStyle w:val="Hyperlink"/>
                <w:noProof/>
              </w:rPr>
              <w:t>Item 2 – Material Changes</w:t>
            </w:r>
            <w:r w:rsidR="008E52B2">
              <w:rPr>
                <w:noProof/>
                <w:webHidden/>
              </w:rPr>
              <w:tab/>
            </w:r>
            <w:r w:rsidR="008E52B2">
              <w:rPr>
                <w:noProof/>
                <w:webHidden/>
              </w:rPr>
              <w:fldChar w:fldCharType="begin"/>
            </w:r>
            <w:r w:rsidR="008E52B2">
              <w:rPr>
                <w:noProof/>
                <w:webHidden/>
              </w:rPr>
              <w:instrText xml:space="preserve"> PAGEREF _Toc208132655 \h </w:instrText>
            </w:r>
            <w:r w:rsidR="008E52B2">
              <w:rPr>
                <w:noProof/>
                <w:webHidden/>
              </w:rPr>
            </w:r>
            <w:r w:rsidR="008E52B2">
              <w:rPr>
                <w:noProof/>
                <w:webHidden/>
              </w:rPr>
              <w:fldChar w:fldCharType="separate"/>
            </w:r>
            <w:r w:rsidR="008E52B2">
              <w:rPr>
                <w:noProof/>
                <w:webHidden/>
              </w:rPr>
              <w:t>2</w:t>
            </w:r>
            <w:r w:rsidR="008E52B2">
              <w:rPr>
                <w:noProof/>
                <w:webHidden/>
              </w:rPr>
              <w:fldChar w:fldCharType="end"/>
            </w:r>
          </w:hyperlink>
        </w:p>
        <w:p w14:paraId="0DD0CE3E" w14:textId="4E4C38EE" w:rsidR="008E52B2" w:rsidRDefault="008E52B2">
          <w:pPr>
            <w:pStyle w:val="TOC1"/>
            <w:rPr>
              <w:rFonts w:asciiTheme="minorHAnsi" w:eastAsiaTheme="minorEastAsia" w:hAnsiTheme="minorHAnsi" w:cstheme="minorBidi"/>
              <w:noProof/>
              <w:kern w:val="2"/>
              <w:szCs w:val="24"/>
              <w14:ligatures w14:val="standardContextual"/>
            </w:rPr>
          </w:pPr>
          <w:hyperlink w:anchor="_Toc208132656" w:history="1">
            <w:r w:rsidRPr="00DF1AF6">
              <w:rPr>
                <w:rStyle w:val="Hyperlink"/>
                <w:noProof/>
              </w:rPr>
              <w:t>Item 4 - Advisory Business</w:t>
            </w:r>
            <w:r>
              <w:rPr>
                <w:noProof/>
                <w:webHidden/>
              </w:rPr>
              <w:tab/>
            </w:r>
            <w:r>
              <w:rPr>
                <w:noProof/>
                <w:webHidden/>
              </w:rPr>
              <w:fldChar w:fldCharType="begin"/>
            </w:r>
            <w:r>
              <w:rPr>
                <w:noProof/>
                <w:webHidden/>
              </w:rPr>
              <w:instrText xml:space="preserve"> PAGEREF _Toc208132656 \h </w:instrText>
            </w:r>
            <w:r>
              <w:rPr>
                <w:noProof/>
                <w:webHidden/>
              </w:rPr>
            </w:r>
            <w:r>
              <w:rPr>
                <w:noProof/>
                <w:webHidden/>
              </w:rPr>
              <w:fldChar w:fldCharType="separate"/>
            </w:r>
            <w:r>
              <w:rPr>
                <w:noProof/>
                <w:webHidden/>
              </w:rPr>
              <w:t>4</w:t>
            </w:r>
            <w:r>
              <w:rPr>
                <w:noProof/>
                <w:webHidden/>
              </w:rPr>
              <w:fldChar w:fldCharType="end"/>
            </w:r>
          </w:hyperlink>
        </w:p>
        <w:p w14:paraId="1E84E47C" w14:textId="37AE1A11"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57" w:history="1">
            <w:r w:rsidRPr="00DF1AF6">
              <w:rPr>
                <w:rStyle w:val="Hyperlink"/>
                <w:noProof/>
              </w:rPr>
              <w:t>Firm Description</w:t>
            </w:r>
            <w:r>
              <w:rPr>
                <w:noProof/>
                <w:webHidden/>
              </w:rPr>
              <w:tab/>
            </w:r>
            <w:r>
              <w:rPr>
                <w:noProof/>
                <w:webHidden/>
              </w:rPr>
              <w:fldChar w:fldCharType="begin"/>
            </w:r>
            <w:r>
              <w:rPr>
                <w:noProof/>
                <w:webHidden/>
              </w:rPr>
              <w:instrText xml:space="preserve"> PAGEREF _Toc208132657 \h </w:instrText>
            </w:r>
            <w:r>
              <w:rPr>
                <w:noProof/>
                <w:webHidden/>
              </w:rPr>
            </w:r>
            <w:r>
              <w:rPr>
                <w:noProof/>
                <w:webHidden/>
              </w:rPr>
              <w:fldChar w:fldCharType="separate"/>
            </w:r>
            <w:r>
              <w:rPr>
                <w:noProof/>
                <w:webHidden/>
              </w:rPr>
              <w:t>4</w:t>
            </w:r>
            <w:r>
              <w:rPr>
                <w:noProof/>
                <w:webHidden/>
              </w:rPr>
              <w:fldChar w:fldCharType="end"/>
            </w:r>
          </w:hyperlink>
        </w:p>
        <w:p w14:paraId="6B3E3938" w14:textId="5E019665"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58" w:history="1">
            <w:r w:rsidRPr="00DF1AF6">
              <w:rPr>
                <w:rStyle w:val="Hyperlink"/>
                <w:noProof/>
              </w:rPr>
              <w:t>Advisory Services Offered</w:t>
            </w:r>
            <w:r>
              <w:rPr>
                <w:noProof/>
                <w:webHidden/>
              </w:rPr>
              <w:tab/>
            </w:r>
            <w:r>
              <w:rPr>
                <w:noProof/>
                <w:webHidden/>
              </w:rPr>
              <w:fldChar w:fldCharType="begin"/>
            </w:r>
            <w:r>
              <w:rPr>
                <w:noProof/>
                <w:webHidden/>
              </w:rPr>
              <w:instrText xml:space="preserve"> PAGEREF _Toc208132658 \h </w:instrText>
            </w:r>
            <w:r>
              <w:rPr>
                <w:noProof/>
                <w:webHidden/>
              </w:rPr>
            </w:r>
            <w:r>
              <w:rPr>
                <w:noProof/>
                <w:webHidden/>
              </w:rPr>
              <w:fldChar w:fldCharType="separate"/>
            </w:r>
            <w:r>
              <w:rPr>
                <w:noProof/>
                <w:webHidden/>
              </w:rPr>
              <w:t>4</w:t>
            </w:r>
            <w:r>
              <w:rPr>
                <w:noProof/>
                <w:webHidden/>
              </w:rPr>
              <w:fldChar w:fldCharType="end"/>
            </w:r>
          </w:hyperlink>
        </w:p>
        <w:p w14:paraId="4D2600D2" w14:textId="00A7E578" w:rsidR="008E52B2" w:rsidRDefault="008E52B2">
          <w:pPr>
            <w:pStyle w:val="TOC3"/>
            <w:tabs>
              <w:tab w:val="right" w:leader="dot" w:pos="9350"/>
            </w:tabs>
            <w:rPr>
              <w:rFonts w:asciiTheme="minorHAnsi" w:eastAsiaTheme="minorEastAsia" w:hAnsiTheme="minorHAnsi" w:cstheme="minorBidi"/>
              <w:noProof/>
              <w:kern w:val="2"/>
              <w:szCs w:val="24"/>
              <w14:ligatures w14:val="standardContextual"/>
            </w:rPr>
          </w:pPr>
          <w:hyperlink w:anchor="_Toc208132659" w:history="1">
            <w:r w:rsidRPr="00DF1AF6">
              <w:rPr>
                <w:rStyle w:val="Hyperlink"/>
                <w:noProof/>
              </w:rPr>
              <w:t>Ongoing Asset Based Portfolio Management Paired with Comprehensive Financial Planning</w:t>
            </w:r>
            <w:r>
              <w:rPr>
                <w:noProof/>
                <w:webHidden/>
              </w:rPr>
              <w:tab/>
            </w:r>
            <w:r>
              <w:rPr>
                <w:noProof/>
                <w:webHidden/>
              </w:rPr>
              <w:fldChar w:fldCharType="begin"/>
            </w:r>
            <w:r>
              <w:rPr>
                <w:noProof/>
                <w:webHidden/>
              </w:rPr>
              <w:instrText xml:space="preserve"> PAGEREF _Toc208132659 \h </w:instrText>
            </w:r>
            <w:r>
              <w:rPr>
                <w:noProof/>
                <w:webHidden/>
              </w:rPr>
            </w:r>
            <w:r>
              <w:rPr>
                <w:noProof/>
                <w:webHidden/>
              </w:rPr>
              <w:fldChar w:fldCharType="separate"/>
            </w:r>
            <w:r>
              <w:rPr>
                <w:noProof/>
                <w:webHidden/>
              </w:rPr>
              <w:t>4</w:t>
            </w:r>
            <w:r>
              <w:rPr>
                <w:noProof/>
                <w:webHidden/>
              </w:rPr>
              <w:fldChar w:fldCharType="end"/>
            </w:r>
          </w:hyperlink>
        </w:p>
        <w:p w14:paraId="45FA4C49" w14:textId="57DECF85" w:rsidR="008E52B2" w:rsidRDefault="008E52B2">
          <w:pPr>
            <w:pStyle w:val="TOC3"/>
            <w:tabs>
              <w:tab w:val="right" w:leader="dot" w:pos="9350"/>
            </w:tabs>
            <w:rPr>
              <w:rFonts w:asciiTheme="minorHAnsi" w:eastAsiaTheme="minorEastAsia" w:hAnsiTheme="minorHAnsi" w:cstheme="minorBidi"/>
              <w:noProof/>
              <w:kern w:val="2"/>
              <w:szCs w:val="24"/>
              <w14:ligatures w14:val="standardContextual"/>
            </w:rPr>
          </w:pPr>
          <w:hyperlink w:anchor="_Toc208132660" w:history="1">
            <w:r w:rsidRPr="00DF1AF6">
              <w:rPr>
                <w:rStyle w:val="Hyperlink"/>
                <w:noProof/>
              </w:rPr>
              <w:t>One-time Fee-Only Financial Planning Reviews</w:t>
            </w:r>
            <w:r>
              <w:rPr>
                <w:noProof/>
                <w:webHidden/>
              </w:rPr>
              <w:tab/>
            </w:r>
            <w:r>
              <w:rPr>
                <w:noProof/>
                <w:webHidden/>
              </w:rPr>
              <w:fldChar w:fldCharType="begin"/>
            </w:r>
            <w:r>
              <w:rPr>
                <w:noProof/>
                <w:webHidden/>
              </w:rPr>
              <w:instrText xml:space="preserve"> PAGEREF _Toc208132660 \h </w:instrText>
            </w:r>
            <w:r>
              <w:rPr>
                <w:noProof/>
                <w:webHidden/>
              </w:rPr>
            </w:r>
            <w:r>
              <w:rPr>
                <w:noProof/>
                <w:webHidden/>
              </w:rPr>
              <w:fldChar w:fldCharType="separate"/>
            </w:r>
            <w:r>
              <w:rPr>
                <w:noProof/>
                <w:webHidden/>
              </w:rPr>
              <w:t>4</w:t>
            </w:r>
            <w:r>
              <w:rPr>
                <w:noProof/>
                <w:webHidden/>
              </w:rPr>
              <w:fldChar w:fldCharType="end"/>
            </w:r>
          </w:hyperlink>
        </w:p>
        <w:p w14:paraId="2E4D57C0" w14:textId="4201989C"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61" w:history="1">
            <w:r w:rsidRPr="00DF1AF6">
              <w:rPr>
                <w:rStyle w:val="Hyperlink"/>
                <w:noProof/>
              </w:rPr>
              <w:t>Tailored Investment Advisory Services</w:t>
            </w:r>
            <w:r>
              <w:rPr>
                <w:noProof/>
                <w:webHidden/>
              </w:rPr>
              <w:tab/>
            </w:r>
            <w:r>
              <w:rPr>
                <w:noProof/>
                <w:webHidden/>
              </w:rPr>
              <w:fldChar w:fldCharType="begin"/>
            </w:r>
            <w:r>
              <w:rPr>
                <w:noProof/>
                <w:webHidden/>
              </w:rPr>
              <w:instrText xml:space="preserve"> PAGEREF _Toc208132661 \h </w:instrText>
            </w:r>
            <w:r>
              <w:rPr>
                <w:noProof/>
                <w:webHidden/>
              </w:rPr>
            </w:r>
            <w:r>
              <w:rPr>
                <w:noProof/>
                <w:webHidden/>
              </w:rPr>
              <w:fldChar w:fldCharType="separate"/>
            </w:r>
            <w:r>
              <w:rPr>
                <w:noProof/>
                <w:webHidden/>
              </w:rPr>
              <w:t>5</w:t>
            </w:r>
            <w:r>
              <w:rPr>
                <w:noProof/>
                <w:webHidden/>
              </w:rPr>
              <w:fldChar w:fldCharType="end"/>
            </w:r>
          </w:hyperlink>
        </w:p>
        <w:p w14:paraId="682C224F" w14:textId="3D8C5DB9"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62" w:history="1">
            <w:r w:rsidRPr="00DF1AF6">
              <w:rPr>
                <w:rStyle w:val="Hyperlink"/>
                <w:noProof/>
              </w:rPr>
              <w:t>Wrap Fee Programs</w:t>
            </w:r>
            <w:r>
              <w:rPr>
                <w:noProof/>
                <w:webHidden/>
              </w:rPr>
              <w:tab/>
            </w:r>
            <w:r>
              <w:rPr>
                <w:noProof/>
                <w:webHidden/>
              </w:rPr>
              <w:fldChar w:fldCharType="begin"/>
            </w:r>
            <w:r>
              <w:rPr>
                <w:noProof/>
                <w:webHidden/>
              </w:rPr>
              <w:instrText xml:space="preserve"> PAGEREF _Toc208132662 \h </w:instrText>
            </w:r>
            <w:r>
              <w:rPr>
                <w:noProof/>
                <w:webHidden/>
              </w:rPr>
            </w:r>
            <w:r>
              <w:rPr>
                <w:noProof/>
                <w:webHidden/>
              </w:rPr>
              <w:fldChar w:fldCharType="separate"/>
            </w:r>
            <w:r>
              <w:rPr>
                <w:noProof/>
                <w:webHidden/>
              </w:rPr>
              <w:t>5</w:t>
            </w:r>
            <w:r>
              <w:rPr>
                <w:noProof/>
                <w:webHidden/>
              </w:rPr>
              <w:fldChar w:fldCharType="end"/>
            </w:r>
          </w:hyperlink>
        </w:p>
        <w:p w14:paraId="002D2E6F" w14:textId="55342D43"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63" w:history="1">
            <w:r w:rsidRPr="00DF1AF6">
              <w:rPr>
                <w:rStyle w:val="Hyperlink"/>
                <w:noProof/>
              </w:rPr>
              <w:t>Assets Under Management</w:t>
            </w:r>
            <w:r>
              <w:rPr>
                <w:noProof/>
                <w:webHidden/>
              </w:rPr>
              <w:tab/>
            </w:r>
            <w:r>
              <w:rPr>
                <w:noProof/>
                <w:webHidden/>
              </w:rPr>
              <w:fldChar w:fldCharType="begin"/>
            </w:r>
            <w:r>
              <w:rPr>
                <w:noProof/>
                <w:webHidden/>
              </w:rPr>
              <w:instrText xml:space="preserve"> PAGEREF _Toc208132663 \h </w:instrText>
            </w:r>
            <w:r>
              <w:rPr>
                <w:noProof/>
                <w:webHidden/>
              </w:rPr>
            </w:r>
            <w:r>
              <w:rPr>
                <w:noProof/>
                <w:webHidden/>
              </w:rPr>
              <w:fldChar w:fldCharType="separate"/>
            </w:r>
            <w:r>
              <w:rPr>
                <w:noProof/>
                <w:webHidden/>
              </w:rPr>
              <w:t>5</w:t>
            </w:r>
            <w:r>
              <w:rPr>
                <w:noProof/>
                <w:webHidden/>
              </w:rPr>
              <w:fldChar w:fldCharType="end"/>
            </w:r>
          </w:hyperlink>
        </w:p>
        <w:p w14:paraId="605B03DB" w14:textId="5A4C92C4" w:rsidR="008E52B2" w:rsidRDefault="008E52B2">
          <w:pPr>
            <w:pStyle w:val="TOC1"/>
            <w:rPr>
              <w:rFonts w:asciiTheme="minorHAnsi" w:eastAsiaTheme="minorEastAsia" w:hAnsiTheme="minorHAnsi" w:cstheme="minorBidi"/>
              <w:noProof/>
              <w:kern w:val="2"/>
              <w:szCs w:val="24"/>
              <w14:ligatures w14:val="standardContextual"/>
            </w:rPr>
          </w:pPr>
          <w:hyperlink w:anchor="_Toc208132664" w:history="1">
            <w:r w:rsidRPr="00DF1AF6">
              <w:rPr>
                <w:rStyle w:val="Hyperlink"/>
                <w:noProof/>
              </w:rPr>
              <w:t>Item 5 - Fees and Compensation</w:t>
            </w:r>
            <w:r>
              <w:rPr>
                <w:noProof/>
                <w:webHidden/>
              </w:rPr>
              <w:tab/>
            </w:r>
            <w:r>
              <w:rPr>
                <w:noProof/>
                <w:webHidden/>
              </w:rPr>
              <w:fldChar w:fldCharType="begin"/>
            </w:r>
            <w:r>
              <w:rPr>
                <w:noProof/>
                <w:webHidden/>
              </w:rPr>
              <w:instrText xml:space="preserve"> PAGEREF _Toc208132664 \h </w:instrText>
            </w:r>
            <w:r>
              <w:rPr>
                <w:noProof/>
                <w:webHidden/>
              </w:rPr>
            </w:r>
            <w:r>
              <w:rPr>
                <w:noProof/>
                <w:webHidden/>
              </w:rPr>
              <w:fldChar w:fldCharType="separate"/>
            </w:r>
            <w:r>
              <w:rPr>
                <w:noProof/>
                <w:webHidden/>
              </w:rPr>
              <w:t>5</w:t>
            </w:r>
            <w:r>
              <w:rPr>
                <w:noProof/>
                <w:webHidden/>
              </w:rPr>
              <w:fldChar w:fldCharType="end"/>
            </w:r>
          </w:hyperlink>
        </w:p>
        <w:p w14:paraId="1EAFD6DB" w14:textId="19597375"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65" w:history="1">
            <w:r w:rsidRPr="00DF1AF6">
              <w:rPr>
                <w:rStyle w:val="Hyperlink"/>
                <w:noProof/>
              </w:rPr>
              <w:t>Fees for Fee-Only Financial Planning</w:t>
            </w:r>
            <w:r>
              <w:rPr>
                <w:noProof/>
                <w:webHidden/>
              </w:rPr>
              <w:tab/>
            </w:r>
            <w:r>
              <w:rPr>
                <w:noProof/>
                <w:webHidden/>
              </w:rPr>
              <w:fldChar w:fldCharType="begin"/>
            </w:r>
            <w:r>
              <w:rPr>
                <w:noProof/>
                <w:webHidden/>
              </w:rPr>
              <w:instrText xml:space="preserve"> PAGEREF _Toc208132665 \h </w:instrText>
            </w:r>
            <w:r>
              <w:rPr>
                <w:noProof/>
                <w:webHidden/>
              </w:rPr>
            </w:r>
            <w:r>
              <w:rPr>
                <w:noProof/>
                <w:webHidden/>
              </w:rPr>
              <w:fldChar w:fldCharType="separate"/>
            </w:r>
            <w:r>
              <w:rPr>
                <w:noProof/>
                <w:webHidden/>
              </w:rPr>
              <w:t>5</w:t>
            </w:r>
            <w:r>
              <w:rPr>
                <w:noProof/>
                <w:webHidden/>
              </w:rPr>
              <w:fldChar w:fldCharType="end"/>
            </w:r>
          </w:hyperlink>
        </w:p>
        <w:p w14:paraId="5AD25FCE" w14:textId="2FDB8B50"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66" w:history="1">
            <w:r w:rsidRPr="00DF1AF6">
              <w:rPr>
                <w:rStyle w:val="Hyperlink"/>
                <w:noProof/>
              </w:rPr>
              <w:t>Fees for Continuous Financial Planning and Portfolio Management</w:t>
            </w:r>
            <w:r>
              <w:rPr>
                <w:noProof/>
                <w:webHidden/>
              </w:rPr>
              <w:tab/>
            </w:r>
            <w:r>
              <w:rPr>
                <w:noProof/>
                <w:webHidden/>
              </w:rPr>
              <w:fldChar w:fldCharType="begin"/>
            </w:r>
            <w:r>
              <w:rPr>
                <w:noProof/>
                <w:webHidden/>
              </w:rPr>
              <w:instrText xml:space="preserve"> PAGEREF _Toc208132666 \h </w:instrText>
            </w:r>
            <w:r>
              <w:rPr>
                <w:noProof/>
                <w:webHidden/>
              </w:rPr>
            </w:r>
            <w:r>
              <w:rPr>
                <w:noProof/>
                <w:webHidden/>
              </w:rPr>
              <w:fldChar w:fldCharType="separate"/>
            </w:r>
            <w:r>
              <w:rPr>
                <w:noProof/>
                <w:webHidden/>
              </w:rPr>
              <w:t>6</w:t>
            </w:r>
            <w:r>
              <w:rPr>
                <w:noProof/>
                <w:webHidden/>
              </w:rPr>
              <w:fldChar w:fldCharType="end"/>
            </w:r>
          </w:hyperlink>
        </w:p>
        <w:p w14:paraId="53B25048" w14:textId="01236EA7" w:rsidR="008E52B2" w:rsidRDefault="008E52B2">
          <w:pPr>
            <w:pStyle w:val="TOC2"/>
            <w:tabs>
              <w:tab w:val="right" w:leader="dot" w:pos="9350"/>
            </w:tabs>
            <w:rPr>
              <w:rFonts w:asciiTheme="minorHAnsi" w:eastAsiaTheme="minorEastAsia" w:hAnsiTheme="minorHAnsi" w:cstheme="minorBidi"/>
              <w:noProof/>
              <w:kern w:val="2"/>
              <w:szCs w:val="24"/>
              <w14:ligatures w14:val="standardContextual"/>
            </w:rPr>
          </w:pPr>
          <w:hyperlink w:anchor="_Toc208132667" w:history="1">
            <w:r w:rsidRPr="00DF1AF6">
              <w:rPr>
                <w:rStyle w:val="Hyperlink"/>
                <w:noProof/>
              </w:rPr>
              <w:t>Termination of Agreement</w:t>
            </w:r>
            <w:r>
              <w:rPr>
                <w:noProof/>
                <w:webHidden/>
              </w:rPr>
              <w:tab/>
            </w:r>
            <w:r>
              <w:rPr>
                <w:noProof/>
                <w:webHidden/>
              </w:rPr>
              <w:fldChar w:fldCharType="begin"/>
            </w:r>
            <w:r>
              <w:rPr>
                <w:noProof/>
                <w:webHidden/>
              </w:rPr>
              <w:instrText xml:space="preserve"> PAGEREF _Toc208132667 \h </w:instrText>
            </w:r>
            <w:r>
              <w:rPr>
                <w:noProof/>
                <w:webHidden/>
              </w:rPr>
            </w:r>
            <w:r>
              <w:rPr>
                <w:noProof/>
                <w:webHidden/>
              </w:rPr>
              <w:fldChar w:fldCharType="separate"/>
            </w:r>
            <w:r>
              <w:rPr>
                <w:noProof/>
                <w:webHidden/>
              </w:rPr>
              <w:t>6</w:t>
            </w:r>
            <w:r>
              <w:rPr>
                <w:noProof/>
                <w:webHidden/>
              </w:rPr>
              <w:fldChar w:fldCharType="end"/>
            </w:r>
          </w:hyperlink>
        </w:p>
        <w:p w14:paraId="7ABEA9F4" w14:textId="32951428" w:rsidR="008E52B2" w:rsidRDefault="008E52B2">
          <w:pPr>
            <w:pStyle w:val="TOC1"/>
            <w:rPr>
              <w:rFonts w:asciiTheme="minorHAnsi" w:eastAsiaTheme="minorEastAsia" w:hAnsiTheme="minorHAnsi" w:cstheme="minorBidi"/>
              <w:noProof/>
              <w:kern w:val="2"/>
              <w:szCs w:val="24"/>
              <w14:ligatures w14:val="standardContextual"/>
            </w:rPr>
          </w:pPr>
          <w:hyperlink w:anchor="_Toc208132668" w:history="1">
            <w:r w:rsidRPr="00DF1AF6">
              <w:rPr>
                <w:rStyle w:val="Hyperlink"/>
                <w:noProof/>
              </w:rPr>
              <w:t>Item 6 - Performance-Based Fees and Side-By-Side Management</w:t>
            </w:r>
            <w:r>
              <w:rPr>
                <w:noProof/>
                <w:webHidden/>
              </w:rPr>
              <w:tab/>
            </w:r>
            <w:r>
              <w:rPr>
                <w:noProof/>
                <w:webHidden/>
              </w:rPr>
              <w:fldChar w:fldCharType="begin"/>
            </w:r>
            <w:r>
              <w:rPr>
                <w:noProof/>
                <w:webHidden/>
              </w:rPr>
              <w:instrText xml:space="preserve"> PAGEREF _Toc208132668 \h </w:instrText>
            </w:r>
            <w:r>
              <w:rPr>
                <w:noProof/>
                <w:webHidden/>
              </w:rPr>
            </w:r>
            <w:r>
              <w:rPr>
                <w:noProof/>
                <w:webHidden/>
              </w:rPr>
              <w:fldChar w:fldCharType="separate"/>
            </w:r>
            <w:r>
              <w:rPr>
                <w:noProof/>
                <w:webHidden/>
              </w:rPr>
              <w:t>6</w:t>
            </w:r>
            <w:r>
              <w:rPr>
                <w:noProof/>
                <w:webHidden/>
              </w:rPr>
              <w:fldChar w:fldCharType="end"/>
            </w:r>
          </w:hyperlink>
        </w:p>
        <w:p w14:paraId="7F8AE0A2" w14:textId="6D44D7AB" w:rsidR="008E52B2" w:rsidRDefault="008E52B2">
          <w:pPr>
            <w:pStyle w:val="TOC1"/>
            <w:rPr>
              <w:rFonts w:asciiTheme="minorHAnsi" w:eastAsiaTheme="minorEastAsia" w:hAnsiTheme="minorHAnsi" w:cstheme="minorBidi"/>
              <w:noProof/>
              <w:kern w:val="2"/>
              <w:szCs w:val="24"/>
              <w14:ligatures w14:val="standardContextual"/>
            </w:rPr>
          </w:pPr>
          <w:hyperlink w:anchor="_Toc208132669" w:history="1">
            <w:r w:rsidRPr="00DF1AF6">
              <w:rPr>
                <w:rStyle w:val="Hyperlink"/>
                <w:noProof/>
              </w:rPr>
              <w:t>Item 7 - Types of Clients</w:t>
            </w:r>
            <w:r>
              <w:rPr>
                <w:noProof/>
                <w:webHidden/>
              </w:rPr>
              <w:tab/>
            </w:r>
            <w:r>
              <w:rPr>
                <w:noProof/>
                <w:webHidden/>
              </w:rPr>
              <w:fldChar w:fldCharType="begin"/>
            </w:r>
            <w:r>
              <w:rPr>
                <w:noProof/>
                <w:webHidden/>
              </w:rPr>
              <w:instrText xml:space="preserve"> PAGEREF _Toc208132669 \h </w:instrText>
            </w:r>
            <w:r>
              <w:rPr>
                <w:noProof/>
                <w:webHidden/>
              </w:rPr>
            </w:r>
            <w:r>
              <w:rPr>
                <w:noProof/>
                <w:webHidden/>
              </w:rPr>
              <w:fldChar w:fldCharType="separate"/>
            </w:r>
            <w:r>
              <w:rPr>
                <w:noProof/>
                <w:webHidden/>
              </w:rPr>
              <w:t>7</w:t>
            </w:r>
            <w:r>
              <w:rPr>
                <w:noProof/>
                <w:webHidden/>
              </w:rPr>
              <w:fldChar w:fldCharType="end"/>
            </w:r>
          </w:hyperlink>
        </w:p>
        <w:p w14:paraId="0DD8B5BE" w14:textId="37AC934D" w:rsidR="008E52B2" w:rsidRDefault="008E52B2">
          <w:pPr>
            <w:pStyle w:val="TOC1"/>
            <w:rPr>
              <w:rFonts w:asciiTheme="minorHAnsi" w:eastAsiaTheme="minorEastAsia" w:hAnsiTheme="minorHAnsi" w:cstheme="minorBidi"/>
              <w:noProof/>
              <w:kern w:val="2"/>
              <w:szCs w:val="24"/>
              <w14:ligatures w14:val="standardContextual"/>
            </w:rPr>
          </w:pPr>
          <w:hyperlink w:anchor="_Toc208132670" w:history="1">
            <w:r w:rsidRPr="00DF1AF6">
              <w:rPr>
                <w:rStyle w:val="Hyperlink"/>
                <w:noProof/>
              </w:rPr>
              <w:t>Item 8 - Methods of Analysis, Investment Strategies and Risk of Loss</w:t>
            </w:r>
            <w:r>
              <w:rPr>
                <w:noProof/>
                <w:webHidden/>
              </w:rPr>
              <w:tab/>
            </w:r>
            <w:r>
              <w:rPr>
                <w:noProof/>
                <w:webHidden/>
              </w:rPr>
              <w:fldChar w:fldCharType="begin"/>
            </w:r>
            <w:r>
              <w:rPr>
                <w:noProof/>
                <w:webHidden/>
              </w:rPr>
              <w:instrText xml:space="preserve"> PAGEREF _Toc208132670 \h </w:instrText>
            </w:r>
            <w:r>
              <w:rPr>
                <w:noProof/>
                <w:webHidden/>
              </w:rPr>
            </w:r>
            <w:r>
              <w:rPr>
                <w:noProof/>
                <w:webHidden/>
              </w:rPr>
              <w:fldChar w:fldCharType="separate"/>
            </w:r>
            <w:r>
              <w:rPr>
                <w:noProof/>
                <w:webHidden/>
              </w:rPr>
              <w:t>7</w:t>
            </w:r>
            <w:r>
              <w:rPr>
                <w:noProof/>
                <w:webHidden/>
              </w:rPr>
              <w:fldChar w:fldCharType="end"/>
            </w:r>
          </w:hyperlink>
        </w:p>
        <w:p w14:paraId="4DC0FC7C" w14:textId="5C47D02D" w:rsidR="008E52B2" w:rsidRDefault="008E52B2">
          <w:pPr>
            <w:pStyle w:val="TOC1"/>
            <w:rPr>
              <w:rFonts w:asciiTheme="minorHAnsi" w:eastAsiaTheme="minorEastAsia" w:hAnsiTheme="minorHAnsi" w:cstheme="minorBidi"/>
              <w:noProof/>
              <w:kern w:val="2"/>
              <w:szCs w:val="24"/>
              <w14:ligatures w14:val="standardContextual"/>
            </w:rPr>
          </w:pPr>
          <w:hyperlink w:anchor="_Toc208132671" w:history="1">
            <w:r w:rsidRPr="00DF1AF6">
              <w:rPr>
                <w:rStyle w:val="Hyperlink"/>
                <w:noProof/>
              </w:rPr>
              <w:t>Item 9 - Disciplinary Information</w:t>
            </w:r>
            <w:r>
              <w:rPr>
                <w:noProof/>
                <w:webHidden/>
              </w:rPr>
              <w:tab/>
            </w:r>
            <w:r>
              <w:rPr>
                <w:noProof/>
                <w:webHidden/>
              </w:rPr>
              <w:fldChar w:fldCharType="begin"/>
            </w:r>
            <w:r>
              <w:rPr>
                <w:noProof/>
                <w:webHidden/>
              </w:rPr>
              <w:instrText xml:space="preserve"> PAGEREF _Toc208132671 \h </w:instrText>
            </w:r>
            <w:r>
              <w:rPr>
                <w:noProof/>
                <w:webHidden/>
              </w:rPr>
            </w:r>
            <w:r>
              <w:rPr>
                <w:noProof/>
                <w:webHidden/>
              </w:rPr>
              <w:fldChar w:fldCharType="separate"/>
            </w:r>
            <w:r>
              <w:rPr>
                <w:noProof/>
                <w:webHidden/>
              </w:rPr>
              <w:t>8</w:t>
            </w:r>
            <w:r>
              <w:rPr>
                <w:noProof/>
                <w:webHidden/>
              </w:rPr>
              <w:fldChar w:fldCharType="end"/>
            </w:r>
          </w:hyperlink>
        </w:p>
        <w:p w14:paraId="7FA2FF4E" w14:textId="031086FA" w:rsidR="008E52B2" w:rsidRDefault="008E52B2">
          <w:pPr>
            <w:pStyle w:val="TOC1"/>
            <w:rPr>
              <w:rFonts w:asciiTheme="minorHAnsi" w:eastAsiaTheme="minorEastAsia" w:hAnsiTheme="minorHAnsi" w:cstheme="minorBidi"/>
              <w:noProof/>
              <w:kern w:val="2"/>
              <w:szCs w:val="24"/>
              <w14:ligatures w14:val="standardContextual"/>
            </w:rPr>
          </w:pPr>
          <w:hyperlink w:anchor="_Toc208132672" w:history="1">
            <w:r w:rsidRPr="00DF1AF6">
              <w:rPr>
                <w:rStyle w:val="Hyperlink"/>
                <w:noProof/>
              </w:rPr>
              <w:t>Item 10 - Other Financial Industry Activities and Affiliations</w:t>
            </w:r>
            <w:r>
              <w:rPr>
                <w:noProof/>
                <w:webHidden/>
              </w:rPr>
              <w:tab/>
            </w:r>
            <w:r>
              <w:rPr>
                <w:noProof/>
                <w:webHidden/>
              </w:rPr>
              <w:fldChar w:fldCharType="begin"/>
            </w:r>
            <w:r>
              <w:rPr>
                <w:noProof/>
                <w:webHidden/>
              </w:rPr>
              <w:instrText xml:space="preserve"> PAGEREF _Toc208132672 \h </w:instrText>
            </w:r>
            <w:r>
              <w:rPr>
                <w:noProof/>
                <w:webHidden/>
              </w:rPr>
            </w:r>
            <w:r>
              <w:rPr>
                <w:noProof/>
                <w:webHidden/>
              </w:rPr>
              <w:fldChar w:fldCharType="separate"/>
            </w:r>
            <w:r>
              <w:rPr>
                <w:noProof/>
                <w:webHidden/>
              </w:rPr>
              <w:t>8</w:t>
            </w:r>
            <w:r>
              <w:rPr>
                <w:noProof/>
                <w:webHidden/>
              </w:rPr>
              <w:fldChar w:fldCharType="end"/>
            </w:r>
          </w:hyperlink>
        </w:p>
        <w:p w14:paraId="2B294082" w14:textId="00DF8B08" w:rsidR="008E52B2" w:rsidRDefault="008E52B2">
          <w:pPr>
            <w:pStyle w:val="TOC1"/>
            <w:rPr>
              <w:rFonts w:asciiTheme="minorHAnsi" w:eastAsiaTheme="minorEastAsia" w:hAnsiTheme="minorHAnsi" w:cstheme="minorBidi"/>
              <w:noProof/>
              <w:kern w:val="2"/>
              <w:szCs w:val="24"/>
              <w14:ligatures w14:val="standardContextual"/>
            </w:rPr>
          </w:pPr>
          <w:hyperlink w:anchor="_Toc208132673" w:history="1">
            <w:r w:rsidRPr="00DF1AF6">
              <w:rPr>
                <w:rStyle w:val="Hyperlink"/>
                <w:noProof/>
              </w:rPr>
              <w:t>Item 11 - Code of Ethics, Participation or Interest in Client Transactions and Personal Trading</w:t>
            </w:r>
            <w:r>
              <w:rPr>
                <w:noProof/>
                <w:webHidden/>
              </w:rPr>
              <w:tab/>
            </w:r>
            <w:r>
              <w:rPr>
                <w:noProof/>
                <w:webHidden/>
              </w:rPr>
              <w:fldChar w:fldCharType="begin"/>
            </w:r>
            <w:r>
              <w:rPr>
                <w:noProof/>
                <w:webHidden/>
              </w:rPr>
              <w:instrText xml:space="preserve"> PAGEREF _Toc208132673 \h </w:instrText>
            </w:r>
            <w:r>
              <w:rPr>
                <w:noProof/>
                <w:webHidden/>
              </w:rPr>
            </w:r>
            <w:r>
              <w:rPr>
                <w:noProof/>
                <w:webHidden/>
              </w:rPr>
              <w:fldChar w:fldCharType="separate"/>
            </w:r>
            <w:r>
              <w:rPr>
                <w:noProof/>
                <w:webHidden/>
              </w:rPr>
              <w:t>9</w:t>
            </w:r>
            <w:r>
              <w:rPr>
                <w:noProof/>
                <w:webHidden/>
              </w:rPr>
              <w:fldChar w:fldCharType="end"/>
            </w:r>
          </w:hyperlink>
        </w:p>
        <w:p w14:paraId="689C87BA" w14:textId="6F213EBE" w:rsidR="008E52B2" w:rsidRDefault="008E52B2">
          <w:pPr>
            <w:pStyle w:val="TOC1"/>
            <w:rPr>
              <w:rFonts w:asciiTheme="minorHAnsi" w:eastAsiaTheme="minorEastAsia" w:hAnsiTheme="minorHAnsi" w:cstheme="minorBidi"/>
              <w:noProof/>
              <w:kern w:val="2"/>
              <w:szCs w:val="24"/>
              <w14:ligatures w14:val="standardContextual"/>
            </w:rPr>
          </w:pPr>
          <w:hyperlink w:anchor="_Toc208132674" w:history="1">
            <w:r w:rsidRPr="00DF1AF6">
              <w:rPr>
                <w:rStyle w:val="Hyperlink"/>
                <w:noProof/>
              </w:rPr>
              <w:t>Item 12 - Brokerage Practices</w:t>
            </w:r>
            <w:r>
              <w:rPr>
                <w:noProof/>
                <w:webHidden/>
              </w:rPr>
              <w:tab/>
            </w:r>
            <w:r>
              <w:rPr>
                <w:noProof/>
                <w:webHidden/>
              </w:rPr>
              <w:fldChar w:fldCharType="begin"/>
            </w:r>
            <w:r>
              <w:rPr>
                <w:noProof/>
                <w:webHidden/>
              </w:rPr>
              <w:instrText xml:space="preserve"> PAGEREF _Toc208132674 \h </w:instrText>
            </w:r>
            <w:r>
              <w:rPr>
                <w:noProof/>
                <w:webHidden/>
              </w:rPr>
            </w:r>
            <w:r>
              <w:rPr>
                <w:noProof/>
                <w:webHidden/>
              </w:rPr>
              <w:fldChar w:fldCharType="separate"/>
            </w:r>
            <w:r>
              <w:rPr>
                <w:noProof/>
                <w:webHidden/>
              </w:rPr>
              <w:t>10</w:t>
            </w:r>
            <w:r>
              <w:rPr>
                <w:noProof/>
                <w:webHidden/>
              </w:rPr>
              <w:fldChar w:fldCharType="end"/>
            </w:r>
          </w:hyperlink>
        </w:p>
        <w:p w14:paraId="580FD5DE" w14:textId="2F5F5152" w:rsidR="008E52B2" w:rsidRDefault="008E52B2">
          <w:pPr>
            <w:pStyle w:val="TOC1"/>
            <w:rPr>
              <w:rFonts w:asciiTheme="minorHAnsi" w:eastAsiaTheme="minorEastAsia" w:hAnsiTheme="minorHAnsi" w:cstheme="minorBidi"/>
              <w:noProof/>
              <w:kern w:val="2"/>
              <w:szCs w:val="24"/>
              <w14:ligatures w14:val="standardContextual"/>
            </w:rPr>
          </w:pPr>
          <w:hyperlink w:anchor="_Toc208132675" w:history="1">
            <w:r w:rsidRPr="00DF1AF6">
              <w:rPr>
                <w:rStyle w:val="Hyperlink"/>
                <w:noProof/>
              </w:rPr>
              <w:t>Item 13 - Review of Accounts</w:t>
            </w:r>
            <w:r>
              <w:rPr>
                <w:noProof/>
                <w:webHidden/>
              </w:rPr>
              <w:tab/>
            </w:r>
            <w:r>
              <w:rPr>
                <w:noProof/>
                <w:webHidden/>
              </w:rPr>
              <w:fldChar w:fldCharType="begin"/>
            </w:r>
            <w:r>
              <w:rPr>
                <w:noProof/>
                <w:webHidden/>
              </w:rPr>
              <w:instrText xml:space="preserve"> PAGEREF _Toc208132675 \h </w:instrText>
            </w:r>
            <w:r>
              <w:rPr>
                <w:noProof/>
                <w:webHidden/>
              </w:rPr>
            </w:r>
            <w:r>
              <w:rPr>
                <w:noProof/>
                <w:webHidden/>
              </w:rPr>
              <w:fldChar w:fldCharType="separate"/>
            </w:r>
            <w:r>
              <w:rPr>
                <w:noProof/>
                <w:webHidden/>
              </w:rPr>
              <w:t>12</w:t>
            </w:r>
            <w:r>
              <w:rPr>
                <w:noProof/>
                <w:webHidden/>
              </w:rPr>
              <w:fldChar w:fldCharType="end"/>
            </w:r>
          </w:hyperlink>
        </w:p>
        <w:p w14:paraId="728C83AE" w14:textId="2A818BAD" w:rsidR="008E52B2" w:rsidRDefault="008E52B2">
          <w:pPr>
            <w:pStyle w:val="TOC1"/>
            <w:rPr>
              <w:rFonts w:asciiTheme="minorHAnsi" w:eastAsiaTheme="minorEastAsia" w:hAnsiTheme="minorHAnsi" w:cstheme="minorBidi"/>
              <w:noProof/>
              <w:kern w:val="2"/>
              <w:szCs w:val="24"/>
              <w14:ligatures w14:val="standardContextual"/>
            </w:rPr>
          </w:pPr>
          <w:hyperlink w:anchor="_Toc208132676" w:history="1">
            <w:r w:rsidRPr="00DF1AF6">
              <w:rPr>
                <w:rStyle w:val="Hyperlink"/>
                <w:noProof/>
              </w:rPr>
              <w:t>Item 14 - Client Referrals and Other Compensation</w:t>
            </w:r>
            <w:r>
              <w:rPr>
                <w:noProof/>
                <w:webHidden/>
              </w:rPr>
              <w:tab/>
            </w:r>
            <w:r>
              <w:rPr>
                <w:noProof/>
                <w:webHidden/>
              </w:rPr>
              <w:fldChar w:fldCharType="begin"/>
            </w:r>
            <w:r>
              <w:rPr>
                <w:noProof/>
                <w:webHidden/>
              </w:rPr>
              <w:instrText xml:space="preserve"> PAGEREF _Toc208132676 \h </w:instrText>
            </w:r>
            <w:r>
              <w:rPr>
                <w:noProof/>
                <w:webHidden/>
              </w:rPr>
            </w:r>
            <w:r>
              <w:rPr>
                <w:noProof/>
                <w:webHidden/>
              </w:rPr>
              <w:fldChar w:fldCharType="separate"/>
            </w:r>
            <w:r>
              <w:rPr>
                <w:noProof/>
                <w:webHidden/>
              </w:rPr>
              <w:t>12</w:t>
            </w:r>
            <w:r>
              <w:rPr>
                <w:noProof/>
                <w:webHidden/>
              </w:rPr>
              <w:fldChar w:fldCharType="end"/>
            </w:r>
          </w:hyperlink>
        </w:p>
        <w:p w14:paraId="13A4A8D8" w14:textId="6EEE2586" w:rsidR="008E52B2" w:rsidRDefault="008E52B2">
          <w:pPr>
            <w:pStyle w:val="TOC1"/>
            <w:rPr>
              <w:rFonts w:asciiTheme="minorHAnsi" w:eastAsiaTheme="minorEastAsia" w:hAnsiTheme="minorHAnsi" w:cstheme="minorBidi"/>
              <w:noProof/>
              <w:kern w:val="2"/>
              <w:szCs w:val="24"/>
              <w14:ligatures w14:val="standardContextual"/>
            </w:rPr>
          </w:pPr>
          <w:hyperlink w:anchor="_Toc208132677" w:history="1">
            <w:r w:rsidRPr="00DF1AF6">
              <w:rPr>
                <w:rStyle w:val="Hyperlink"/>
                <w:noProof/>
              </w:rPr>
              <w:t>Item 15 - Custody</w:t>
            </w:r>
            <w:r>
              <w:rPr>
                <w:noProof/>
                <w:webHidden/>
              </w:rPr>
              <w:tab/>
            </w:r>
            <w:r>
              <w:rPr>
                <w:noProof/>
                <w:webHidden/>
              </w:rPr>
              <w:fldChar w:fldCharType="begin"/>
            </w:r>
            <w:r>
              <w:rPr>
                <w:noProof/>
                <w:webHidden/>
              </w:rPr>
              <w:instrText xml:space="preserve"> PAGEREF _Toc208132677 \h </w:instrText>
            </w:r>
            <w:r>
              <w:rPr>
                <w:noProof/>
                <w:webHidden/>
              </w:rPr>
            </w:r>
            <w:r>
              <w:rPr>
                <w:noProof/>
                <w:webHidden/>
              </w:rPr>
              <w:fldChar w:fldCharType="separate"/>
            </w:r>
            <w:r>
              <w:rPr>
                <w:noProof/>
                <w:webHidden/>
              </w:rPr>
              <w:t>12</w:t>
            </w:r>
            <w:r>
              <w:rPr>
                <w:noProof/>
                <w:webHidden/>
              </w:rPr>
              <w:fldChar w:fldCharType="end"/>
            </w:r>
          </w:hyperlink>
        </w:p>
        <w:p w14:paraId="2EEE190C" w14:textId="646B815D" w:rsidR="008E52B2" w:rsidRDefault="008E52B2">
          <w:pPr>
            <w:pStyle w:val="TOC1"/>
            <w:rPr>
              <w:rFonts w:asciiTheme="minorHAnsi" w:eastAsiaTheme="minorEastAsia" w:hAnsiTheme="minorHAnsi" w:cstheme="minorBidi"/>
              <w:noProof/>
              <w:kern w:val="2"/>
              <w:szCs w:val="24"/>
              <w14:ligatures w14:val="standardContextual"/>
            </w:rPr>
          </w:pPr>
          <w:hyperlink w:anchor="_Toc208132678" w:history="1">
            <w:r w:rsidRPr="00DF1AF6">
              <w:rPr>
                <w:rStyle w:val="Hyperlink"/>
                <w:noProof/>
              </w:rPr>
              <w:t>Item 16 - Investment Discretion</w:t>
            </w:r>
            <w:r>
              <w:rPr>
                <w:noProof/>
                <w:webHidden/>
              </w:rPr>
              <w:tab/>
            </w:r>
            <w:r>
              <w:rPr>
                <w:noProof/>
                <w:webHidden/>
              </w:rPr>
              <w:fldChar w:fldCharType="begin"/>
            </w:r>
            <w:r>
              <w:rPr>
                <w:noProof/>
                <w:webHidden/>
              </w:rPr>
              <w:instrText xml:space="preserve"> PAGEREF _Toc208132678 \h </w:instrText>
            </w:r>
            <w:r>
              <w:rPr>
                <w:noProof/>
                <w:webHidden/>
              </w:rPr>
            </w:r>
            <w:r>
              <w:rPr>
                <w:noProof/>
                <w:webHidden/>
              </w:rPr>
              <w:fldChar w:fldCharType="separate"/>
            </w:r>
            <w:r>
              <w:rPr>
                <w:noProof/>
                <w:webHidden/>
              </w:rPr>
              <w:t>12</w:t>
            </w:r>
            <w:r>
              <w:rPr>
                <w:noProof/>
                <w:webHidden/>
              </w:rPr>
              <w:fldChar w:fldCharType="end"/>
            </w:r>
          </w:hyperlink>
        </w:p>
        <w:p w14:paraId="7F43AC22" w14:textId="66CD9217" w:rsidR="008E52B2" w:rsidRDefault="008E52B2">
          <w:pPr>
            <w:pStyle w:val="TOC1"/>
            <w:rPr>
              <w:rFonts w:asciiTheme="minorHAnsi" w:eastAsiaTheme="minorEastAsia" w:hAnsiTheme="minorHAnsi" w:cstheme="minorBidi"/>
              <w:noProof/>
              <w:kern w:val="2"/>
              <w:szCs w:val="24"/>
              <w14:ligatures w14:val="standardContextual"/>
            </w:rPr>
          </w:pPr>
          <w:hyperlink w:anchor="_Toc208132679" w:history="1">
            <w:r w:rsidRPr="00DF1AF6">
              <w:rPr>
                <w:rStyle w:val="Hyperlink"/>
                <w:noProof/>
              </w:rPr>
              <w:t>Item 17 - Voting Client Securities</w:t>
            </w:r>
            <w:r>
              <w:rPr>
                <w:noProof/>
                <w:webHidden/>
              </w:rPr>
              <w:tab/>
            </w:r>
            <w:r>
              <w:rPr>
                <w:noProof/>
                <w:webHidden/>
              </w:rPr>
              <w:fldChar w:fldCharType="begin"/>
            </w:r>
            <w:r>
              <w:rPr>
                <w:noProof/>
                <w:webHidden/>
              </w:rPr>
              <w:instrText xml:space="preserve"> PAGEREF _Toc208132679 \h </w:instrText>
            </w:r>
            <w:r>
              <w:rPr>
                <w:noProof/>
                <w:webHidden/>
              </w:rPr>
            </w:r>
            <w:r>
              <w:rPr>
                <w:noProof/>
                <w:webHidden/>
              </w:rPr>
              <w:fldChar w:fldCharType="separate"/>
            </w:r>
            <w:r>
              <w:rPr>
                <w:noProof/>
                <w:webHidden/>
              </w:rPr>
              <w:t>13</w:t>
            </w:r>
            <w:r>
              <w:rPr>
                <w:noProof/>
                <w:webHidden/>
              </w:rPr>
              <w:fldChar w:fldCharType="end"/>
            </w:r>
          </w:hyperlink>
        </w:p>
        <w:p w14:paraId="622F9F31" w14:textId="4B47AAF9" w:rsidR="008E52B2" w:rsidRDefault="008E52B2">
          <w:pPr>
            <w:pStyle w:val="TOC1"/>
            <w:rPr>
              <w:rFonts w:asciiTheme="minorHAnsi" w:eastAsiaTheme="minorEastAsia" w:hAnsiTheme="minorHAnsi" w:cstheme="minorBidi"/>
              <w:noProof/>
              <w:kern w:val="2"/>
              <w:szCs w:val="24"/>
              <w14:ligatures w14:val="standardContextual"/>
            </w:rPr>
          </w:pPr>
          <w:hyperlink w:anchor="_Toc208132680" w:history="1">
            <w:r w:rsidRPr="00DF1AF6">
              <w:rPr>
                <w:rStyle w:val="Hyperlink"/>
                <w:noProof/>
              </w:rPr>
              <w:t>Item 18 – Financial Information</w:t>
            </w:r>
            <w:r>
              <w:rPr>
                <w:noProof/>
                <w:webHidden/>
              </w:rPr>
              <w:tab/>
            </w:r>
            <w:r>
              <w:rPr>
                <w:noProof/>
                <w:webHidden/>
              </w:rPr>
              <w:fldChar w:fldCharType="begin"/>
            </w:r>
            <w:r>
              <w:rPr>
                <w:noProof/>
                <w:webHidden/>
              </w:rPr>
              <w:instrText xml:space="preserve"> PAGEREF _Toc208132680 \h </w:instrText>
            </w:r>
            <w:r>
              <w:rPr>
                <w:noProof/>
                <w:webHidden/>
              </w:rPr>
            </w:r>
            <w:r>
              <w:rPr>
                <w:noProof/>
                <w:webHidden/>
              </w:rPr>
              <w:fldChar w:fldCharType="separate"/>
            </w:r>
            <w:r>
              <w:rPr>
                <w:noProof/>
                <w:webHidden/>
              </w:rPr>
              <w:t>13</w:t>
            </w:r>
            <w:r>
              <w:rPr>
                <w:noProof/>
                <w:webHidden/>
              </w:rPr>
              <w:fldChar w:fldCharType="end"/>
            </w:r>
          </w:hyperlink>
        </w:p>
        <w:p w14:paraId="57FB0AF8" w14:textId="4AEED347" w:rsidR="008E52B2" w:rsidRDefault="008E52B2">
          <w:pPr>
            <w:pStyle w:val="TOC1"/>
            <w:rPr>
              <w:rFonts w:asciiTheme="minorHAnsi" w:eastAsiaTheme="minorEastAsia" w:hAnsiTheme="minorHAnsi" w:cstheme="minorBidi"/>
              <w:noProof/>
              <w:kern w:val="2"/>
              <w:szCs w:val="24"/>
              <w14:ligatures w14:val="standardContextual"/>
            </w:rPr>
          </w:pPr>
          <w:hyperlink w:anchor="_Toc208132681" w:history="1">
            <w:r w:rsidRPr="00DF1AF6">
              <w:rPr>
                <w:rStyle w:val="Hyperlink"/>
                <w:noProof/>
              </w:rPr>
              <w:t>Item 19 - Requirements for State-Registered Advisers</w:t>
            </w:r>
            <w:r>
              <w:rPr>
                <w:noProof/>
                <w:webHidden/>
              </w:rPr>
              <w:tab/>
            </w:r>
            <w:r>
              <w:rPr>
                <w:noProof/>
                <w:webHidden/>
              </w:rPr>
              <w:fldChar w:fldCharType="begin"/>
            </w:r>
            <w:r>
              <w:rPr>
                <w:noProof/>
                <w:webHidden/>
              </w:rPr>
              <w:instrText xml:space="preserve"> PAGEREF _Toc208132681 \h </w:instrText>
            </w:r>
            <w:r>
              <w:rPr>
                <w:noProof/>
                <w:webHidden/>
              </w:rPr>
            </w:r>
            <w:r>
              <w:rPr>
                <w:noProof/>
                <w:webHidden/>
              </w:rPr>
              <w:fldChar w:fldCharType="separate"/>
            </w:r>
            <w:r>
              <w:rPr>
                <w:noProof/>
                <w:webHidden/>
              </w:rPr>
              <w:t>13</w:t>
            </w:r>
            <w:r>
              <w:rPr>
                <w:noProof/>
                <w:webHidden/>
              </w:rPr>
              <w:fldChar w:fldCharType="end"/>
            </w:r>
          </w:hyperlink>
        </w:p>
        <w:p w14:paraId="54E0A2B6" w14:textId="03E7E821" w:rsidR="008E52B2" w:rsidRDefault="008E52B2">
          <w:pPr>
            <w:pStyle w:val="TOC1"/>
            <w:rPr>
              <w:rFonts w:asciiTheme="minorHAnsi" w:eastAsiaTheme="minorEastAsia" w:hAnsiTheme="minorHAnsi" w:cstheme="minorBidi"/>
              <w:noProof/>
              <w:kern w:val="2"/>
              <w:szCs w:val="24"/>
              <w14:ligatures w14:val="standardContextual"/>
            </w:rPr>
          </w:pPr>
          <w:hyperlink w:anchor="_Toc208132682" w:history="1">
            <w:r w:rsidRPr="00DF1AF6">
              <w:rPr>
                <w:rStyle w:val="Hyperlink"/>
                <w:noProof/>
              </w:rPr>
              <w:t>Privacy Policy</w:t>
            </w:r>
            <w:r>
              <w:rPr>
                <w:noProof/>
                <w:webHidden/>
              </w:rPr>
              <w:tab/>
            </w:r>
            <w:r>
              <w:rPr>
                <w:noProof/>
                <w:webHidden/>
              </w:rPr>
              <w:fldChar w:fldCharType="begin"/>
            </w:r>
            <w:r>
              <w:rPr>
                <w:noProof/>
                <w:webHidden/>
              </w:rPr>
              <w:instrText xml:space="preserve"> PAGEREF _Toc208132682 \h </w:instrText>
            </w:r>
            <w:r>
              <w:rPr>
                <w:noProof/>
                <w:webHidden/>
              </w:rPr>
            </w:r>
            <w:r>
              <w:rPr>
                <w:noProof/>
                <w:webHidden/>
              </w:rPr>
              <w:fldChar w:fldCharType="separate"/>
            </w:r>
            <w:r>
              <w:rPr>
                <w:noProof/>
                <w:webHidden/>
              </w:rPr>
              <w:t>15</w:t>
            </w:r>
            <w:r>
              <w:rPr>
                <w:noProof/>
                <w:webHidden/>
              </w:rPr>
              <w:fldChar w:fldCharType="end"/>
            </w:r>
          </w:hyperlink>
        </w:p>
        <w:p w14:paraId="48CEF90F" w14:textId="705129A8" w:rsidR="008E52B2" w:rsidRDefault="008E52B2">
          <w:pPr>
            <w:pStyle w:val="TOC1"/>
            <w:rPr>
              <w:rFonts w:asciiTheme="minorHAnsi" w:eastAsiaTheme="minorEastAsia" w:hAnsiTheme="minorHAnsi" w:cstheme="minorBidi"/>
              <w:noProof/>
              <w:kern w:val="2"/>
              <w:szCs w:val="24"/>
              <w14:ligatures w14:val="standardContextual"/>
            </w:rPr>
          </w:pPr>
          <w:hyperlink w:anchor="_Toc208132683" w:history="1">
            <w:r w:rsidRPr="00DF1AF6">
              <w:rPr>
                <w:rStyle w:val="Hyperlink"/>
                <w:noProof/>
              </w:rPr>
              <w:t>Brochure Supplement: John H. Robinson</w:t>
            </w:r>
            <w:r>
              <w:rPr>
                <w:noProof/>
                <w:webHidden/>
              </w:rPr>
              <w:tab/>
            </w:r>
            <w:r>
              <w:rPr>
                <w:noProof/>
                <w:webHidden/>
              </w:rPr>
              <w:fldChar w:fldCharType="begin"/>
            </w:r>
            <w:r>
              <w:rPr>
                <w:noProof/>
                <w:webHidden/>
              </w:rPr>
              <w:instrText xml:space="preserve"> PAGEREF _Toc208132683 \h </w:instrText>
            </w:r>
            <w:r>
              <w:rPr>
                <w:noProof/>
                <w:webHidden/>
              </w:rPr>
            </w:r>
            <w:r>
              <w:rPr>
                <w:noProof/>
                <w:webHidden/>
              </w:rPr>
              <w:fldChar w:fldCharType="separate"/>
            </w:r>
            <w:r>
              <w:rPr>
                <w:noProof/>
                <w:webHidden/>
              </w:rPr>
              <w:t>16</w:t>
            </w:r>
            <w:r>
              <w:rPr>
                <w:noProof/>
                <w:webHidden/>
              </w:rPr>
              <w:fldChar w:fldCharType="end"/>
            </w:r>
          </w:hyperlink>
        </w:p>
        <w:p w14:paraId="47357F3A" w14:textId="51D7799E" w:rsidR="008E52B2" w:rsidRDefault="008E52B2">
          <w:pPr>
            <w:pStyle w:val="TOC1"/>
            <w:rPr>
              <w:rFonts w:asciiTheme="minorHAnsi" w:eastAsiaTheme="minorEastAsia" w:hAnsiTheme="minorHAnsi" w:cstheme="minorBidi"/>
              <w:noProof/>
              <w:kern w:val="2"/>
              <w:szCs w:val="24"/>
              <w14:ligatures w14:val="standardContextual"/>
            </w:rPr>
          </w:pPr>
          <w:hyperlink w:anchor="_Toc208132684" w:history="1">
            <w:r w:rsidRPr="00DF1AF6">
              <w:rPr>
                <w:rStyle w:val="Hyperlink"/>
                <w:noProof/>
              </w:rPr>
              <w:t>Brochure Supplement: Susan Gabor, CFP</w:t>
            </w:r>
            <w:r>
              <w:rPr>
                <w:noProof/>
                <w:webHidden/>
              </w:rPr>
              <w:tab/>
            </w:r>
            <w:r>
              <w:rPr>
                <w:noProof/>
                <w:webHidden/>
              </w:rPr>
              <w:fldChar w:fldCharType="begin"/>
            </w:r>
            <w:r>
              <w:rPr>
                <w:noProof/>
                <w:webHidden/>
              </w:rPr>
              <w:instrText xml:space="preserve"> PAGEREF _Toc208132684 \h </w:instrText>
            </w:r>
            <w:r>
              <w:rPr>
                <w:noProof/>
                <w:webHidden/>
              </w:rPr>
            </w:r>
            <w:r>
              <w:rPr>
                <w:noProof/>
                <w:webHidden/>
              </w:rPr>
              <w:fldChar w:fldCharType="separate"/>
            </w:r>
            <w:r>
              <w:rPr>
                <w:noProof/>
                <w:webHidden/>
              </w:rPr>
              <w:t>19</w:t>
            </w:r>
            <w:r>
              <w:rPr>
                <w:noProof/>
                <w:webHidden/>
              </w:rPr>
              <w:fldChar w:fldCharType="end"/>
            </w:r>
          </w:hyperlink>
        </w:p>
        <w:p w14:paraId="6A5EB88C" w14:textId="7FD40E3E" w:rsidR="008E52B2" w:rsidRDefault="008E52B2">
          <w:pPr>
            <w:pStyle w:val="TOC1"/>
            <w:rPr>
              <w:rFonts w:asciiTheme="minorHAnsi" w:eastAsiaTheme="minorEastAsia" w:hAnsiTheme="minorHAnsi" w:cstheme="minorBidi"/>
              <w:noProof/>
              <w:kern w:val="2"/>
              <w:szCs w:val="24"/>
              <w14:ligatures w14:val="standardContextual"/>
            </w:rPr>
          </w:pPr>
          <w:hyperlink w:anchor="_Toc208132685" w:history="1">
            <w:r w:rsidRPr="00DF1AF6">
              <w:rPr>
                <w:rStyle w:val="Hyperlink"/>
                <w:rFonts w:asciiTheme="majorHAnsi" w:eastAsiaTheme="majorEastAsia" w:hAnsiTheme="majorHAnsi" w:cstheme="majorBidi"/>
                <w:noProof/>
              </w:rPr>
              <w:t>Brochure Supplement: Itaat Husain</w:t>
            </w:r>
            <w:r>
              <w:rPr>
                <w:noProof/>
                <w:webHidden/>
              </w:rPr>
              <w:tab/>
            </w:r>
            <w:r>
              <w:rPr>
                <w:noProof/>
                <w:webHidden/>
              </w:rPr>
              <w:fldChar w:fldCharType="begin"/>
            </w:r>
            <w:r>
              <w:rPr>
                <w:noProof/>
                <w:webHidden/>
              </w:rPr>
              <w:instrText xml:space="preserve"> PAGEREF _Toc208132685 \h </w:instrText>
            </w:r>
            <w:r>
              <w:rPr>
                <w:noProof/>
                <w:webHidden/>
              </w:rPr>
            </w:r>
            <w:r>
              <w:rPr>
                <w:noProof/>
                <w:webHidden/>
              </w:rPr>
              <w:fldChar w:fldCharType="separate"/>
            </w:r>
            <w:r>
              <w:rPr>
                <w:noProof/>
                <w:webHidden/>
              </w:rPr>
              <w:t>23</w:t>
            </w:r>
            <w:r>
              <w:rPr>
                <w:noProof/>
                <w:webHidden/>
              </w:rPr>
              <w:fldChar w:fldCharType="end"/>
            </w:r>
          </w:hyperlink>
        </w:p>
        <w:p w14:paraId="1E5154BF" w14:textId="4EDAC2F4" w:rsidR="008C70E7" w:rsidRDefault="008C70E7">
          <w:r>
            <w:rPr>
              <w:b/>
              <w:bCs/>
              <w:noProof/>
            </w:rPr>
            <w:fldChar w:fldCharType="end"/>
          </w:r>
        </w:p>
      </w:sdtContent>
    </w:sdt>
    <w:p w14:paraId="307AB0BF"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41B5823A" w14:textId="4185ED1D" w:rsidR="00A97A37" w:rsidRPr="00BA69CA" w:rsidRDefault="00A97A37">
      <w:pPr>
        <w:widowControl w:val="0"/>
        <w:autoSpaceDE w:val="0"/>
        <w:autoSpaceDN w:val="0"/>
        <w:adjustRightInd w:val="0"/>
        <w:rPr>
          <w:rFonts w:ascii="Times New Roman" w:hAnsi="Times New Roman"/>
          <w:szCs w:val="24"/>
        </w:rPr>
        <w:sectPr w:rsidR="00A97A37" w:rsidRPr="00BA69CA" w:rsidSect="000E55D5">
          <w:type w:val="continuous"/>
          <w:pgSz w:w="12240" w:h="15840" w:code="1"/>
          <w:pgMar w:top="1440" w:right="1440" w:bottom="778" w:left="1440" w:header="720" w:footer="720" w:gutter="0"/>
          <w:cols w:space="720" w:equalWidth="0">
            <w:col w:w="9360"/>
          </w:cols>
          <w:noEndnote/>
        </w:sectPr>
      </w:pPr>
    </w:p>
    <w:p w14:paraId="6B51C282" w14:textId="77777777" w:rsidR="00DC29AA" w:rsidRPr="00BA69CA" w:rsidRDefault="00DC29AA">
      <w:pPr>
        <w:widowControl w:val="0"/>
        <w:autoSpaceDE w:val="0"/>
        <w:autoSpaceDN w:val="0"/>
        <w:adjustRightInd w:val="0"/>
        <w:rPr>
          <w:rFonts w:ascii="Arial" w:hAnsi="Arial" w:cs="Arial"/>
          <w:b/>
          <w:bCs/>
          <w:szCs w:val="24"/>
        </w:rPr>
      </w:pPr>
    </w:p>
    <w:p w14:paraId="3A9FF475" w14:textId="723226EA" w:rsidR="001B6454" w:rsidRPr="00BA69CA" w:rsidRDefault="003A6EAA" w:rsidP="003A6EAA">
      <w:pPr>
        <w:pStyle w:val="Heading1"/>
        <w:rPr>
          <w:rFonts w:ascii="Times New Roman" w:hAnsi="Times New Roman"/>
        </w:rPr>
      </w:pPr>
      <w:bookmarkStart w:id="1" w:name="_Toc208132656"/>
      <w:r>
        <w:t xml:space="preserve">Item 4 - </w:t>
      </w:r>
      <w:r w:rsidR="00184969" w:rsidRPr="00BA69CA">
        <w:t>Advisory Business</w:t>
      </w:r>
      <w:bookmarkEnd w:id="1"/>
    </w:p>
    <w:p w14:paraId="2571F077" w14:textId="77777777" w:rsidR="001B6454" w:rsidRPr="00BA69CA" w:rsidRDefault="00F03077">
      <w:pPr>
        <w:widowControl w:val="0"/>
        <w:autoSpaceDE w:val="0"/>
        <w:autoSpaceDN w:val="0"/>
        <w:adjustRightInd w:val="0"/>
        <w:spacing w:line="310" w:lineRule="exact"/>
        <w:rPr>
          <w:rFonts w:ascii="Times New Roman" w:hAnsi="Times New Roman"/>
          <w:szCs w:val="24"/>
        </w:rPr>
      </w:pPr>
      <w:r w:rsidRPr="00BA69CA">
        <w:rPr>
          <w:noProof/>
        </w:rPr>
        <mc:AlternateContent>
          <mc:Choice Requires="wps">
            <w:drawing>
              <wp:anchor distT="0" distB="0" distL="114300" distR="114300" simplePos="0" relativeHeight="251648000" behindDoc="1" locked="0" layoutInCell="0" allowOverlap="1" wp14:anchorId="3A2C548D" wp14:editId="51B47984">
                <wp:simplePos x="0" y="0"/>
                <wp:positionH relativeFrom="column">
                  <wp:posOffset>-19050</wp:posOffset>
                </wp:positionH>
                <wp:positionV relativeFrom="paragraph">
                  <wp:posOffset>27940</wp:posOffset>
                </wp:positionV>
                <wp:extent cx="5981700" cy="0"/>
                <wp:effectExtent l="0" t="0" r="0" b="0"/>
                <wp:wrapNone/>
                <wp:docPr id="24"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0D3E9C" id="Line 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0809C293" w14:textId="3BE68030" w:rsidR="00612CF5" w:rsidRDefault="00612CF5" w:rsidP="00612CF5">
      <w:pPr>
        <w:pStyle w:val="Heading2"/>
      </w:pPr>
      <w:bookmarkStart w:id="2" w:name="_Toc208132657"/>
      <w:r>
        <w:t>Firm Description</w:t>
      </w:r>
      <w:bookmarkEnd w:id="2"/>
    </w:p>
    <w:p w14:paraId="1BD16EBB" w14:textId="77777777" w:rsidR="00612CF5" w:rsidRDefault="00612CF5" w:rsidP="00612CF5"/>
    <w:p w14:paraId="2F2060EB" w14:textId="4E07D868" w:rsidR="00576872" w:rsidRDefault="00184969" w:rsidP="00612CF5">
      <w:r w:rsidRPr="00BA69CA">
        <w:t>Financial Planning Hawaii, Inc. (“FPH”) is a registered investment adviser firm established in 2010</w:t>
      </w:r>
      <w:r w:rsidR="00576872">
        <w:t xml:space="preserve"> as a Hawaii C-Corp</w:t>
      </w:r>
      <w:r w:rsidR="006E140B">
        <w:t>.</w:t>
      </w:r>
      <w:r w:rsidR="00444A87">
        <w:t xml:space="preserve"> The firm provides</w:t>
      </w:r>
      <w:r w:rsidR="00576872">
        <w:t xml:space="preserve"> ongoing</w:t>
      </w:r>
      <w:r w:rsidR="00444A87">
        <w:t xml:space="preserve"> </w:t>
      </w:r>
      <w:r w:rsidR="00576872">
        <w:t>investment advisory services that include comprehensive financial planning guidance to individual consumers across the United States (herein referred to as “Client” or “Clients”).</w:t>
      </w:r>
    </w:p>
    <w:p w14:paraId="4318A3E4" w14:textId="77777777" w:rsidR="00576872" w:rsidRDefault="00576872" w:rsidP="00612CF5"/>
    <w:p w14:paraId="05FAA7FC" w14:textId="74629607" w:rsidR="001454F4" w:rsidRDefault="00110ED7" w:rsidP="00612CF5">
      <w:r>
        <w:t>In February of 2022, the</w:t>
      </w:r>
      <w:r w:rsidR="0094609A">
        <w:t xml:space="preserve"> company</w:t>
      </w:r>
      <w:r>
        <w:t xml:space="preserve"> began</w:t>
      </w:r>
      <w:r w:rsidR="008B4153">
        <w:t xml:space="preserve"> offering</w:t>
      </w:r>
      <w:r>
        <w:t xml:space="preserve"> </w:t>
      </w:r>
      <w:r w:rsidR="008B4153">
        <w:t xml:space="preserve">flat-fee financial planning guidance that includes </w:t>
      </w:r>
      <w:r w:rsidR="002760E2">
        <w:t xml:space="preserve">specific portfolio management and investment </w:t>
      </w:r>
      <w:r w:rsidR="008B4153">
        <w:t xml:space="preserve">advice </w:t>
      </w:r>
      <w:r w:rsidR="002760E2">
        <w:t xml:space="preserve">pertaining to </w:t>
      </w:r>
      <w:r w:rsidR="00245678">
        <w:t>securities but</w:t>
      </w:r>
      <w:r w:rsidR="008B4153">
        <w:t xml:space="preserve"> does not include ongoing investment advisory services.  To segregate this business model from its ongoing investment management business, </w:t>
      </w:r>
      <w:r w:rsidR="00245678">
        <w:t xml:space="preserve">FPH </w:t>
      </w:r>
      <w:r w:rsidR="008B4153">
        <w:t>offers flat-fee financial planning advice</w:t>
      </w:r>
      <w:r w:rsidR="001454F4">
        <w:t xml:space="preserve"> using the DBA </w:t>
      </w:r>
      <w:r w:rsidR="00245678">
        <w:t>“</w:t>
      </w:r>
      <w:r w:rsidR="001454F4">
        <w:t>Fee</w:t>
      </w:r>
      <w:r w:rsidR="0094609A">
        <w:t>-</w:t>
      </w:r>
      <w:r w:rsidR="001454F4">
        <w:t>Only Planning Hawaii</w:t>
      </w:r>
      <w:r w:rsidR="00A10E65">
        <w:t>.</w:t>
      </w:r>
      <w:r w:rsidR="00245678">
        <w:t>”</w:t>
      </w:r>
      <w:r w:rsidR="00A10E65">
        <w:t xml:space="preserve"> </w:t>
      </w:r>
    </w:p>
    <w:p w14:paraId="63A27E49" w14:textId="3FDA7BB4" w:rsidR="001B6454" w:rsidRDefault="001B6454" w:rsidP="00612CF5">
      <w:pPr>
        <w:rPr>
          <w:rFonts w:ascii="Times New Roman" w:hAnsi="Times New Roman"/>
          <w:szCs w:val="24"/>
        </w:rPr>
      </w:pPr>
    </w:p>
    <w:p w14:paraId="1E80339D" w14:textId="77777777" w:rsidR="001A21A6" w:rsidRDefault="00612CF5" w:rsidP="001A0D86">
      <w:r>
        <w:t xml:space="preserve">John </w:t>
      </w:r>
      <w:r w:rsidR="00576872">
        <w:t xml:space="preserve">Henry </w:t>
      </w:r>
      <w:r>
        <w:t>Robinson is the firm’s principal owner.</w:t>
      </w:r>
      <w:r w:rsidR="00A71FED">
        <w:t xml:space="preserve"> </w:t>
      </w:r>
    </w:p>
    <w:p w14:paraId="0100248E" w14:textId="77777777" w:rsidR="001A21A6" w:rsidRDefault="001A21A6" w:rsidP="001A0D86"/>
    <w:p w14:paraId="3F823FB2" w14:textId="7A6F9055" w:rsidR="001A21A6" w:rsidRDefault="001A21A6" w:rsidP="001A21A6">
      <w:pPr>
        <w:pStyle w:val="Heading2"/>
      </w:pPr>
      <w:bookmarkStart w:id="3" w:name="_Toc208132658"/>
      <w:r>
        <w:t>Advisory Services Offered</w:t>
      </w:r>
      <w:bookmarkEnd w:id="3"/>
    </w:p>
    <w:p w14:paraId="30FB976F" w14:textId="77777777" w:rsidR="001A21A6" w:rsidRDefault="001A21A6" w:rsidP="001A0D86"/>
    <w:p w14:paraId="3ED20031" w14:textId="27971C36" w:rsidR="003741FB" w:rsidRPr="00BA69CA" w:rsidRDefault="00A71FED" w:rsidP="001A0D86">
      <w:r>
        <w:t>The firm provides the following types of investment advisory services.</w:t>
      </w:r>
    </w:p>
    <w:p w14:paraId="5B9BFC1F" w14:textId="77777777" w:rsidR="001B6454" w:rsidRPr="00BA69CA" w:rsidRDefault="001B6454" w:rsidP="001A0D86"/>
    <w:p w14:paraId="54F0D82F" w14:textId="1DBD9A7C" w:rsidR="00576872" w:rsidRDefault="008E52B2" w:rsidP="001A21A6">
      <w:pPr>
        <w:pStyle w:val="Heading3"/>
      </w:pPr>
      <w:bookmarkStart w:id="4" w:name="_Toc208132659"/>
      <w:r>
        <w:t>Ongoing Asset</w:t>
      </w:r>
      <w:r w:rsidR="00FD4DDF">
        <w:t xml:space="preserve"> Based Portfolio Management Paired with Comprehensive </w:t>
      </w:r>
      <w:r w:rsidR="00453BA8">
        <w:t>Financial Planning</w:t>
      </w:r>
      <w:bookmarkEnd w:id="4"/>
      <w:r w:rsidR="00453BA8">
        <w:t xml:space="preserve"> </w:t>
      </w:r>
    </w:p>
    <w:p w14:paraId="562DA87D" w14:textId="77777777" w:rsidR="00576872" w:rsidRPr="00576872" w:rsidRDefault="00576872" w:rsidP="002768CC"/>
    <w:p w14:paraId="07E1EABC" w14:textId="66C87A46" w:rsidR="00576872" w:rsidRDefault="00576872" w:rsidP="00576872">
      <w:r w:rsidRPr="00576872">
        <w:t>Financial Planning Hawaii (FPH) provide</w:t>
      </w:r>
      <w:r>
        <w:t>s</w:t>
      </w:r>
      <w:r w:rsidRPr="00576872">
        <w:t xml:space="preserve"> personalized </w:t>
      </w:r>
      <w:r>
        <w:t xml:space="preserve">investment and </w:t>
      </w:r>
      <w:r w:rsidRPr="00576872">
        <w:t xml:space="preserve">financial planning </w:t>
      </w:r>
      <w:r>
        <w:t>advice to</w:t>
      </w:r>
      <w:r w:rsidRPr="00576872">
        <w:t xml:space="preserve"> individuals and families across the U.S. </w:t>
      </w:r>
      <w:r>
        <w:t xml:space="preserve">With respect to investment advisory services, we provide specific asset allocation advice, recommendations for investment strategies, and securities selection guidance to address a broad range of common consumer investment objectives including cash management, income generation, educations savings/spending, retirement savings/spending and more. </w:t>
      </w:r>
    </w:p>
    <w:p w14:paraId="6F773B79" w14:textId="77777777" w:rsidR="00FD4DDF" w:rsidRDefault="00FD4DDF" w:rsidP="00576872"/>
    <w:p w14:paraId="0B0999D9" w14:textId="5407D994" w:rsidR="00FD4DDF" w:rsidRDefault="00FD4DDF" w:rsidP="00FD4DDF">
      <w:r>
        <w:t xml:space="preserve">Our financial planning guidance extends beyond just investment advice and includes reviews of important non-securities topics such as </w:t>
      </w:r>
      <w:r w:rsidRPr="00576872">
        <w:t>tax planning, insurance risk management, employe</w:t>
      </w:r>
      <w:r>
        <w:t>r</w:t>
      </w:r>
      <w:r w:rsidRPr="00576872">
        <w:t xml:space="preserve"> benefits</w:t>
      </w:r>
      <w:r>
        <w:t xml:space="preserve"> optimization</w:t>
      </w:r>
      <w:r w:rsidRPr="00576872">
        <w:t>, estate planning, asset registration</w:t>
      </w:r>
      <w:r>
        <w:t xml:space="preserve">, </w:t>
      </w:r>
      <w:r w:rsidRPr="00576872">
        <w:t>benef</w:t>
      </w:r>
      <w:r>
        <w:t>iciary designations</w:t>
      </w:r>
      <w:r w:rsidRPr="00576872">
        <w:t xml:space="preserve">, debt management, creditor protection, and more.  </w:t>
      </w:r>
    </w:p>
    <w:p w14:paraId="527845BD" w14:textId="77777777" w:rsidR="00FD4DDF" w:rsidRDefault="00FD4DDF" w:rsidP="00576872"/>
    <w:p w14:paraId="3FB10E38" w14:textId="0F9E447B" w:rsidR="00576872" w:rsidRDefault="00576872" w:rsidP="00576872"/>
    <w:p w14:paraId="05ECD2FE" w14:textId="79550DE3" w:rsidR="00A652FF" w:rsidRDefault="00FD4DDF" w:rsidP="002D21A0">
      <w:pPr>
        <w:pStyle w:val="Heading3"/>
      </w:pPr>
      <w:bookmarkStart w:id="5" w:name="_Toc208132660"/>
      <w:r>
        <w:t xml:space="preserve">One-time </w:t>
      </w:r>
      <w:r w:rsidR="002D21A0">
        <w:t>Fee-Only Financial Planning</w:t>
      </w:r>
      <w:r w:rsidR="00897E1D">
        <w:t xml:space="preserve"> Reviews</w:t>
      </w:r>
      <w:bookmarkEnd w:id="5"/>
    </w:p>
    <w:p w14:paraId="35EC3504" w14:textId="77777777" w:rsidR="00897E1D" w:rsidRDefault="00897E1D" w:rsidP="00897E1D"/>
    <w:p w14:paraId="16A379AC" w14:textId="4CC7B71C" w:rsidR="00897E1D" w:rsidRPr="00897E1D" w:rsidRDefault="00897E1D" w:rsidP="008E52B2">
      <w:r>
        <w:t xml:space="preserve">Fee-Only Planning Hawaii’s business model offers the same range investment advisory guidance comprehensive financial planning advice as Financial </w:t>
      </w:r>
      <w:r w:rsidR="008E52B2">
        <w:t>Planning</w:t>
      </w:r>
      <w:r>
        <w:t xml:space="preserve"> Hawaii’s asset-based </w:t>
      </w:r>
      <w:r w:rsidR="008E52B2">
        <w:t>model but</w:t>
      </w:r>
      <w:r>
        <w:t xml:space="preserve"> is intended to serve clients who are seeking a one-time engagement with no expectation of enlisting us for ongoing portfolio management.</w:t>
      </w:r>
    </w:p>
    <w:p w14:paraId="64671E47" w14:textId="77777777" w:rsidR="002D21A0" w:rsidRDefault="002D21A0" w:rsidP="00576872"/>
    <w:p w14:paraId="0FC53C72" w14:textId="77777777" w:rsidR="00576872" w:rsidRDefault="00576872" w:rsidP="00576872"/>
    <w:p w14:paraId="02EBE4DA" w14:textId="3BB81319" w:rsidR="00576872" w:rsidRPr="00576872" w:rsidRDefault="00576872" w:rsidP="00576872">
      <w:r>
        <w:lastRenderedPageBreak/>
        <w:t xml:space="preserve">Clients </w:t>
      </w:r>
      <w:r w:rsidR="00897E1D">
        <w:t xml:space="preserve">under both service models are provided </w:t>
      </w:r>
      <w:r>
        <w:t>with access to a financial planning software platform (eMoney) that enables them to centralize,</w:t>
      </w:r>
      <w:r w:rsidR="00245678">
        <w:t xml:space="preserve"> </w:t>
      </w:r>
      <w:r>
        <w:t xml:space="preserve">organize, monitor and maintain the important relevant aspects of their financial lives.  This platform also enables FPH to gain </w:t>
      </w:r>
      <w:r w:rsidR="00245678">
        <w:t xml:space="preserve">a </w:t>
      </w:r>
      <w:r>
        <w:t>holistic understanding of each Client’s situation and experience.</w:t>
      </w:r>
    </w:p>
    <w:p w14:paraId="54C0D839" w14:textId="77777777" w:rsidR="008E52B2" w:rsidRDefault="008E52B2" w:rsidP="00576872"/>
    <w:p w14:paraId="215D4304" w14:textId="19BE4A3A" w:rsidR="00576872" w:rsidRDefault="00245678" w:rsidP="00576872">
      <w:r>
        <w:t>Comprehensive</w:t>
      </w:r>
      <w:r w:rsidR="00576872">
        <w:t xml:space="preserve"> financial planning guidance is provide</w:t>
      </w:r>
      <w:r>
        <w:t>d</w:t>
      </w:r>
      <w:r w:rsidR="00576872">
        <w:t xml:space="preserve"> regardless of whether Client enlists us for a one-time review or for a review that includes ongoing portfolio management. The financial planning review process is the same for both service models and Clients retain ongoing access to eMoney even if they enlist us for </w:t>
      </w:r>
      <w:r w:rsidR="009D60EE">
        <w:t xml:space="preserve">a </w:t>
      </w:r>
      <w:r w:rsidR="00576872">
        <w:t>one-time review.</w:t>
      </w:r>
    </w:p>
    <w:p w14:paraId="28F26D33" w14:textId="77777777" w:rsidR="00576872" w:rsidRDefault="00576872" w:rsidP="00576872"/>
    <w:p w14:paraId="3FA6700F" w14:textId="0350F067" w:rsidR="00576872" w:rsidRPr="00576872" w:rsidRDefault="00576872" w:rsidP="00372BAA">
      <w:r>
        <w:t>Clients should also be aware that while our guidance may overlap with tax and legal guidance, the purpose of our reviews is to raise awareness of potential planning mistakes, oversights, and opportunities that</w:t>
      </w:r>
      <w:r w:rsidR="00245678">
        <w:t>, where applicable,</w:t>
      </w:r>
      <w:r>
        <w:t xml:space="preserve"> should then be review</w:t>
      </w:r>
      <w:r w:rsidR="00245678">
        <w:t>e</w:t>
      </w:r>
      <w:r>
        <w:t>d with Client’s tax or legal advisors.  No elements of our financial planning reviews should be considered specific, actionable</w:t>
      </w:r>
      <w:r w:rsidR="00245678">
        <w:t>, stand-alone</w:t>
      </w:r>
      <w:r>
        <w:t xml:space="preserve"> tax or legal guidance. </w:t>
      </w:r>
    </w:p>
    <w:p w14:paraId="1C83DEF4" w14:textId="77777777" w:rsidR="00612CF5" w:rsidRPr="00612CF5" w:rsidRDefault="00612CF5" w:rsidP="00612CF5"/>
    <w:p w14:paraId="760E40BA" w14:textId="77777777" w:rsidR="001B6454" w:rsidRPr="00BA69CA" w:rsidRDefault="001B6454" w:rsidP="001A0D86"/>
    <w:p w14:paraId="7F19E8BB" w14:textId="1E005056" w:rsidR="000C39FA" w:rsidRDefault="000C39FA" w:rsidP="000C39FA">
      <w:pPr>
        <w:pStyle w:val="Heading2"/>
      </w:pPr>
      <w:bookmarkStart w:id="6" w:name="_Toc208132661"/>
      <w:r>
        <w:t xml:space="preserve">Tailored </w:t>
      </w:r>
      <w:r w:rsidR="00576872">
        <w:t xml:space="preserve">Investment </w:t>
      </w:r>
      <w:r>
        <w:t>Advisory Services</w:t>
      </w:r>
      <w:bookmarkEnd w:id="6"/>
    </w:p>
    <w:p w14:paraId="17CBC217" w14:textId="77777777" w:rsidR="000C39FA" w:rsidRDefault="000C39FA" w:rsidP="00612CF5"/>
    <w:p w14:paraId="14626DDE" w14:textId="07DA0BB2" w:rsidR="001B6454" w:rsidRDefault="00FC6465" w:rsidP="00612CF5">
      <w:r>
        <w:t>FPH tailors its</w:t>
      </w:r>
      <w:r w:rsidR="00184969" w:rsidRPr="00BA69CA">
        <w:t xml:space="preserve"> advisory services to the specific needs and objectives of each advisory client. </w:t>
      </w:r>
      <w:r w:rsidR="00576872">
        <w:t xml:space="preserve">While FPH strives to be consistent in terms of the principles of investing that it applies to Client portfolios, no two portfolios are </w:t>
      </w:r>
      <w:r w:rsidR="00245678">
        <w:t>identical</w:t>
      </w:r>
      <w:r w:rsidR="00576872">
        <w:t xml:space="preserve">.  </w:t>
      </w:r>
    </w:p>
    <w:p w14:paraId="4E9B4964" w14:textId="77777777" w:rsidR="00576872" w:rsidRDefault="00576872" w:rsidP="00612CF5"/>
    <w:p w14:paraId="6DE4D3C4" w14:textId="2D6C79BB" w:rsidR="00576872" w:rsidRDefault="00576872" w:rsidP="00612CF5">
      <w:r>
        <w:t xml:space="preserve">Clients who enlist FPH for ongoing portfolio management are generally encouraged to give </w:t>
      </w:r>
      <w:r w:rsidR="00245678">
        <w:t>FPH</w:t>
      </w:r>
      <w:r>
        <w:t xml:space="preserve"> discretionary trading authorization, though we can accommodate non-discretionary management upon request.  </w:t>
      </w:r>
    </w:p>
    <w:p w14:paraId="1F1DAA4D" w14:textId="77777777" w:rsidR="001B6454" w:rsidRPr="00BA69CA" w:rsidRDefault="001B6454" w:rsidP="00612CF5">
      <w:pPr>
        <w:rPr>
          <w:rFonts w:ascii="Times New Roman" w:hAnsi="Times New Roman"/>
          <w:szCs w:val="24"/>
        </w:rPr>
      </w:pPr>
    </w:p>
    <w:p w14:paraId="7FC69F7C" w14:textId="044275AC" w:rsidR="00293BE5" w:rsidRDefault="00293BE5" w:rsidP="000C39FA">
      <w:pPr>
        <w:pStyle w:val="Heading2"/>
      </w:pPr>
      <w:bookmarkStart w:id="7" w:name="_Toc208132662"/>
      <w:r>
        <w:t>Wrap Fee Programs</w:t>
      </w:r>
      <w:bookmarkEnd w:id="7"/>
    </w:p>
    <w:p w14:paraId="7D62119E" w14:textId="77777777" w:rsidR="00293BE5" w:rsidRDefault="00293BE5" w:rsidP="00612CF5"/>
    <w:p w14:paraId="413F79BF" w14:textId="683698C7" w:rsidR="00576872" w:rsidRPr="00BA69CA" w:rsidRDefault="00184969" w:rsidP="00612CF5">
      <w:pPr>
        <w:rPr>
          <w:rFonts w:ascii="Times New Roman" w:hAnsi="Times New Roman"/>
          <w:szCs w:val="24"/>
        </w:rPr>
      </w:pPr>
      <w:r w:rsidRPr="00BA69CA">
        <w:t xml:space="preserve">FPH does not </w:t>
      </w:r>
      <w:r w:rsidR="000C39FA">
        <w:t xml:space="preserve">sponsor or </w:t>
      </w:r>
      <w:r w:rsidRPr="00BA69CA">
        <w:t>participate in a wrap fee program.</w:t>
      </w:r>
    </w:p>
    <w:p w14:paraId="3B7B1A43" w14:textId="77777777" w:rsidR="001B6454" w:rsidRPr="00BA69CA" w:rsidRDefault="001B6454">
      <w:pPr>
        <w:widowControl w:val="0"/>
        <w:autoSpaceDE w:val="0"/>
        <w:autoSpaceDN w:val="0"/>
        <w:adjustRightInd w:val="0"/>
        <w:spacing w:line="230" w:lineRule="exact"/>
        <w:rPr>
          <w:rFonts w:ascii="Times New Roman" w:hAnsi="Times New Roman"/>
          <w:szCs w:val="24"/>
        </w:rPr>
      </w:pPr>
    </w:p>
    <w:p w14:paraId="3B6C0242" w14:textId="195EC646" w:rsidR="00293BE5" w:rsidRDefault="00293BE5" w:rsidP="00293BE5">
      <w:pPr>
        <w:pStyle w:val="Heading2"/>
      </w:pPr>
      <w:bookmarkStart w:id="8" w:name="_Toc208132663"/>
      <w:r>
        <w:t>Assets Under Management</w:t>
      </w:r>
      <w:bookmarkEnd w:id="8"/>
    </w:p>
    <w:p w14:paraId="0524CFFC" w14:textId="77777777" w:rsidR="00293BE5" w:rsidRDefault="00293BE5" w:rsidP="007B3DA9"/>
    <w:p w14:paraId="1E0A9CE8" w14:textId="3407CD9C" w:rsidR="001B6454" w:rsidRPr="00BA69CA" w:rsidRDefault="00184969" w:rsidP="007B3DA9">
      <w:pPr>
        <w:rPr>
          <w:rFonts w:ascii="Times New Roman" w:hAnsi="Times New Roman"/>
          <w:szCs w:val="24"/>
        </w:rPr>
      </w:pPr>
      <w:r w:rsidRPr="00BA69CA">
        <w:t xml:space="preserve">As of </w:t>
      </w:r>
      <w:r w:rsidR="00605ADA">
        <w:t>September 1</w:t>
      </w:r>
      <w:r w:rsidR="00AE61B5">
        <w:t>, 2025</w:t>
      </w:r>
      <w:r w:rsidRPr="00BA69CA">
        <w:t xml:space="preserve">, </w:t>
      </w:r>
      <w:r w:rsidR="00612CF5">
        <w:t xml:space="preserve">the firm </w:t>
      </w:r>
      <w:r w:rsidR="008E52B2">
        <w:t xml:space="preserve">is expected to have </w:t>
      </w:r>
      <w:r w:rsidR="002A4476">
        <w:t xml:space="preserve">more than </w:t>
      </w:r>
      <w:r w:rsidR="008E52B2">
        <w:t>$</w:t>
      </w:r>
      <w:r w:rsidR="009D60EE">
        <w:t>3</w:t>
      </w:r>
      <w:r w:rsidR="002A4476">
        <w:t>0</w:t>
      </w:r>
      <w:r w:rsidR="009D60EE">
        <w:t>0</w:t>
      </w:r>
      <w:r w:rsidR="008E52B2">
        <w:t>,000,000 in discretionary assets under management and</w:t>
      </w:r>
      <w:r w:rsidR="002A4476">
        <w:t xml:space="preserve"> approximately</w:t>
      </w:r>
      <w:r w:rsidR="008E52B2">
        <w:t xml:space="preserve"> $</w:t>
      </w:r>
      <w:r w:rsidR="002A4476">
        <w:t xml:space="preserve">11 million </w:t>
      </w:r>
      <w:r w:rsidR="008E52B2">
        <w:t>in non-discretionary assets under management</w:t>
      </w:r>
      <w:r w:rsidR="00C21C87">
        <w:t xml:space="preserve"> within 120 days.</w:t>
      </w:r>
    </w:p>
    <w:p w14:paraId="10324EA1" w14:textId="77777777" w:rsidR="00EA72C1" w:rsidRPr="00BA69CA" w:rsidRDefault="00EA72C1">
      <w:pPr>
        <w:widowControl w:val="0"/>
        <w:autoSpaceDE w:val="0"/>
        <w:autoSpaceDN w:val="0"/>
        <w:adjustRightInd w:val="0"/>
        <w:rPr>
          <w:rFonts w:ascii="Arial" w:hAnsi="Arial" w:cs="Arial"/>
          <w:b/>
          <w:bCs/>
          <w:szCs w:val="24"/>
        </w:rPr>
      </w:pPr>
    </w:p>
    <w:p w14:paraId="1832404F" w14:textId="4ACA5A16" w:rsidR="001B6454" w:rsidRPr="00BA69CA" w:rsidRDefault="003A6EAA" w:rsidP="003A6EAA">
      <w:pPr>
        <w:pStyle w:val="Heading1"/>
        <w:rPr>
          <w:rFonts w:ascii="Times New Roman" w:hAnsi="Times New Roman"/>
        </w:rPr>
      </w:pPr>
      <w:bookmarkStart w:id="9" w:name="_Toc208132664"/>
      <w:r>
        <w:t xml:space="preserve">Item 5 - </w:t>
      </w:r>
      <w:r w:rsidR="00184969" w:rsidRPr="00BA69CA">
        <w:t>Fees and Compensation</w:t>
      </w:r>
      <w:bookmarkEnd w:id="9"/>
    </w:p>
    <w:p w14:paraId="5AD9C9E0" w14:textId="12479C5F" w:rsidR="001B6454" w:rsidRPr="00BA69CA" w:rsidRDefault="00F03077">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51072" behindDoc="1" locked="0" layoutInCell="0" allowOverlap="1" wp14:anchorId="0E1BBF8F" wp14:editId="5990991B">
                <wp:simplePos x="0" y="0"/>
                <wp:positionH relativeFrom="column">
                  <wp:posOffset>-19050</wp:posOffset>
                </wp:positionH>
                <wp:positionV relativeFrom="paragraph">
                  <wp:posOffset>27940</wp:posOffset>
                </wp:positionV>
                <wp:extent cx="5981700" cy="0"/>
                <wp:effectExtent l="0" t="0" r="0" b="0"/>
                <wp:wrapNone/>
                <wp:docPr id="21"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B70F63" id="Line 9"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70227289" w14:textId="167D12FE" w:rsidR="001B6454" w:rsidRPr="00403ADD" w:rsidRDefault="00106954" w:rsidP="00403ADD">
      <w:pPr>
        <w:pStyle w:val="Heading2"/>
        <w:rPr>
          <w:rFonts w:ascii="Times New Roman" w:hAnsi="Times New Roman"/>
          <w:sz w:val="24"/>
          <w:szCs w:val="24"/>
        </w:rPr>
      </w:pPr>
      <w:bookmarkStart w:id="10" w:name="_Toc208132665"/>
      <w:r>
        <w:t>Fees for Fee-Only Financial Planning</w:t>
      </w:r>
      <w:bookmarkEnd w:id="10"/>
    </w:p>
    <w:p w14:paraId="66D4370D" w14:textId="77777777" w:rsidR="002F010D" w:rsidRPr="007B3DA9" w:rsidRDefault="002F010D" w:rsidP="007B3DA9">
      <w:pPr>
        <w:rPr>
          <w:szCs w:val="24"/>
        </w:rPr>
      </w:pPr>
    </w:p>
    <w:p w14:paraId="2ECFFE8B" w14:textId="1A8CC0C4" w:rsidR="004D4A60" w:rsidRPr="007B3DA9" w:rsidRDefault="00DC4880" w:rsidP="007B3DA9">
      <w:pPr>
        <w:rPr>
          <w:szCs w:val="24"/>
        </w:rPr>
      </w:pPr>
      <w:r w:rsidRPr="007B3DA9">
        <w:rPr>
          <w:szCs w:val="24"/>
        </w:rPr>
        <w:t>Fees</w:t>
      </w:r>
      <w:r w:rsidR="002F010D" w:rsidRPr="007B3DA9">
        <w:rPr>
          <w:szCs w:val="24"/>
        </w:rPr>
        <w:t xml:space="preserve"> </w:t>
      </w:r>
      <w:r w:rsidR="00D5555E">
        <w:rPr>
          <w:szCs w:val="24"/>
        </w:rPr>
        <w:t xml:space="preserve">for one-time, flat-fee financial planning reviews </w:t>
      </w:r>
      <w:r w:rsidR="002F010D" w:rsidRPr="007B3DA9">
        <w:rPr>
          <w:szCs w:val="24"/>
        </w:rPr>
        <w:t>are individually negotiated with most expected to range from</w:t>
      </w:r>
      <w:r w:rsidR="00184969" w:rsidRPr="007B3DA9">
        <w:rPr>
          <w:szCs w:val="24"/>
        </w:rPr>
        <w:t xml:space="preserve"> $</w:t>
      </w:r>
      <w:r w:rsidR="00B02B6B">
        <w:rPr>
          <w:szCs w:val="24"/>
        </w:rPr>
        <w:t>3</w:t>
      </w:r>
      <w:r w:rsidR="00184969" w:rsidRPr="007B3DA9">
        <w:rPr>
          <w:szCs w:val="24"/>
        </w:rPr>
        <w:t>,</w:t>
      </w:r>
      <w:r w:rsidR="00A51FA4">
        <w:rPr>
          <w:szCs w:val="24"/>
        </w:rPr>
        <w:t>0</w:t>
      </w:r>
      <w:r w:rsidR="00184969" w:rsidRPr="007B3DA9">
        <w:rPr>
          <w:szCs w:val="24"/>
        </w:rPr>
        <w:t>00 to $</w:t>
      </w:r>
      <w:r w:rsidR="00B02B6B">
        <w:rPr>
          <w:szCs w:val="24"/>
        </w:rPr>
        <w:t>10</w:t>
      </w:r>
      <w:r w:rsidR="00184969" w:rsidRPr="007B3DA9">
        <w:rPr>
          <w:szCs w:val="24"/>
        </w:rPr>
        <w:t xml:space="preserve">,000, depending upon the complexity and scope of work to be performed. </w:t>
      </w:r>
    </w:p>
    <w:p w14:paraId="246D9B95" w14:textId="77777777" w:rsidR="004D4A60" w:rsidRPr="007B3DA9" w:rsidRDefault="004D4A60" w:rsidP="007B3DA9">
      <w:pPr>
        <w:rPr>
          <w:szCs w:val="24"/>
        </w:rPr>
      </w:pPr>
    </w:p>
    <w:p w14:paraId="666B2611" w14:textId="7A34161F" w:rsidR="00D74105" w:rsidRPr="007B3DA9" w:rsidRDefault="009E642B" w:rsidP="007B3DA9">
      <w:pPr>
        <w:rPr>
          <w:szCs w:val="24"/>
        </w:rPr>
      </w:pPr>
      <w:r w:rsidRPr="007B3DA9">
        <w:rPr>
          <w:szCs w:val="24"/>
        </w:rPr>
        <w:lastRenderedPageBreak/>
        <w:t>Fifty percent</w:t>
      </w:r>
      <w:r w:rsidR="004D4A60" w:rsidRPr="007B3DA9">
        <w:rPr>
          <w:szCs w:val="24"/>
        </w:rPr>
        <w:t xml:space="preserve"> </w:t>
      </w:r>
      <w:r>
        <w:rPr>
          <w:szCs w:val="24"/>
        </w:rPr>
        <w:t xml:space="preserve">(50%) </w:t>
      </w:r>
      <w:r w:rsidR="004D4A60" w:rsidRPr="007B3DA9">
        <w:rPr>
          <w:szCs w:val="24"/>
        </w:rPr>
        <w:t xml:space="preserve">of the fee is payable in </w:t>
      </w:r>
      <w:r w:rsidR="00B52581" w:rsidRPr="007B3DA9">
        <w:rPr>
          <w:szCs w:val="24"/>
        </w:rPr>
        <w:t>advance,</w:t>
      </w:r>
      <w:r w:rsidR="004D4A60" w:rsidRPr="007B3DA9">
        <w:rPr>
          <w:szCs w:val="24"/>
        </w:rPr>
        <w:t xml:space="preserve"> and the balance is due upon delivery and presentation of the financial </w:t>
      </w:r>
      <w:r w:rsidR="00747EFC" w:rsidRPr="007B3DA9">
        <w:rPr>
          <w:szCs w:val="24"/>
        </w:rPr>
        <w:t>plan</w:t>
      </w:r>
      <w:r w:rsidR="00747EFC">
        <w:rPr>
          <w:szCs w:val="24"/>
        </w:rPr>
        <w:t>.</w:t>
      </w:r>
      <w:r w:rsidR="004D4A60" w:rsidRPr="007B3DA9">
        <w:rPr>
          <w:szCs w:val="24"/>
        </w:rPr>
        <w:t xml:space="preserve"> </w:t>
      </w:r>
      <w:r w:rsidR="0008275A" w:rsidRPr="007B3DA9">
        <w:rPr>
          <w:szCs w:val="24"/>
        </w:rPr>
        <w:t xml:space="preserve">We will provide </w:t>
      </w:r>
      <w:r w:rsidR="00B02B6B" w:rsidRPr="007B3DA9">
        <w:rPr>
          <w:szCs w:val="24"/>
        </w:rPr>
        <w:t>invoices,</w:t>
      </w:r>
      <w:r w:rsidR="0008275A" w:rsidRPr="007B3DA9">
        <w:rPr>
          <w:szCs w:val="24"/>
        </w:rPr>
        <w:t xml:space="preserve"> and payment may be made via personal check. </w:t>
      </w:r>
      <w:r w:rsidR="00287D63" w:rsidRPr="007B3DA9">
        <w:rPr>
          <w:szCs w:val="24"/>
        </w:rPr>
        <w:t xml:space="preserve">We strive to complete all client engagements within </w:t>
      </w:r>
      <w:r w:rsidR="00D5555E">
        <w:rPr>
          <w:szCs w:val="24"/>
        </w:rPr>
        <w:t>9</w:t>
      </w:r>
      <w:r w:rsidR="00D5555E" w:rsidRPr="007B3DA9">
        <w:rPr>
          <w:szCs w:val="24"/>
        </w:rPr>
        <w:t xml:space="preserve">0 </w:t>
      </w:r>
      <w:r w:rsidR="008E52B2" w:rsidRPr="007B3DA9">
        <w:rPr>
          <w:szCs w:val="24"/>
        </w:rPr>
        <w:t>days.</w:t>
      </w:r>
    </w:p>
    <w:p w14:paraId="18CA0C8E" w14:textId="77777777" w:rsidR="00C10ACC" w:rsidRPr="007B3DA9" w:rsidRDefault="00C10ACC" w:rsidP="007B3DA9">
      <w:pPr>
        <w:rPr>
          <w:szCs w:val="24"/>
        </w:rPr>
      </w:pPr>
    </w:p>
    <w:p w14:paraId="10C1D2AB" w14:textId="77777777" w:rsidR="00556510" w:rsidRDefault="00556510" w:rsidP="00403ADD"/>
    <w:p w14:paraId="267C6E06" w14:textId="0BA95BE4" w:rsidR="00F37999" w:rsidRDefault="00DE40A3" w:rsidP="00DE40A3">
      <w:pPr>
        <w:pStyle w:val="Heading2"/>
      </w:pPr>
      <w:bookmarkStart w:id="11" w:name="_Toc208132666"/>
      <w:r>
        <w:t xml:space="preserve">Fees for </w:t>
      </w:r>
      <w:r w:rsidR="00A652FF">
        <w:t>Continuous</w:t>
      </w:r>
      <w:r>
        <w:t xml:space="preserve"> Financial Planning </w:t>
      </w:r>
      <w:r w:rsidR="00A652FF">
        <w:t>and</w:t>
      </w:r>
      <w:r w:rsidR="00576872">
        <w:t xml:space="preserve"> </w:t>
      </w:r>
      <w:r>
        <w:t>Portfolio Management</w:t>
      </w:r>
      <w:bookmarkEnd w:id="11"/>
    </w:p>
    <w:p w14:paraId="5BC31D73" w14:textId="77777777" w:rsidR="007F1722" w:rsidRPr="007F1722" w:rsidRDefault="007F1722" w:rsidP="000F07D2"/>
    <w:p w14:paraId="4E5CBF7A" w14:textId="425AEBAE" w:rsidR="00D5555E" w:rsidRPr="008E52B2" w:rsidRDefault="00D5555E" w:rsidP="00D5555E">
      <w:r w:rsidRPr="008E52B2">
        <w:t xml:space="preserve">Investment management fees are calculated and payable quarterly in advance based on the total value (as reported by the Custodian and including cash and cash equivalents) of the Client’s Accounts on the last day of the previous quarter at the rate set forth below as a percentage of assets managed and/or monitored/advised under this Agreement. The initial fee is calculated from the beginning of the next quarter. The Adviser’s fees are negotiable and </w:t>
      </w:r>
      <w:proofErr w:type="gramStart"/>
      <w:r w:rsidRPr="008E52B2">
        <w:t>subsequent to</w:t>
      </w:r>
      <w:proofErr w:type="gramEnd"/>
      <w:r w:rsidRPr="008E52B2">
        <w:t xml:space="preserve"> the execution of this Agreement, the Adviser reserves the right to increase fees but only after the Adviser notifies the Client within thirty (30) days of any increase in fees.</w:t>
      </w:r>
    </w:p>
    <w:p w14:paraId="403C0DEF" w14:textId="77777777" w:rsidR="00D5555E" w:rsidRDefault="00D5555E" w:rsidP="00DE40A3">
      <w:pPr>
        <w:spacing w:after="160" w:line="259" w:lineRule="auto"/>
        <w:rPr>
          <w:rFonts w:eastAsia="Calibri"/>
          <w:szCs w:val="24"/>
          <w:u w:val="single"/>
        </w:rPr>
      </w:pPr>
    </w:p>
    <w:p w14:paraId="7B0E6DDA" w14:textId="46F8575B" w:rsidR="00DE40A3" w:rsidRPr="00DE40A3" w:rsidRDefault="00DE40A3" w:rsidP="00DE40A3">
      <w:pPr>
        <w:spacing w:after="160" w:line="259" w:lineRule="auto"/>
        <w:rPr>
          <w:rFonts w:eastAsia="Calibri"/>
          <w:szCs w:val="24"/>
        </w:rPr>
      </w:pPr>
      <w:r w:rsidRPr="00DE40A3">
        <w:rPr>
          <w:rFonts w:eastAsia="Calibri"/>
          <w:szCs w:val="24"/>
          <w:u w:val="single"/>
        </w:rPr>
        <w:t>Assets Under Management</w:t>
      </w:r>
      <w:r w:rsidRPr="00DE40A3">
        <w:rPr>
          <w:rFonts w:eastAsia="Calibri"/>
          <w:szCs w:val="24"/>
        </w:rPr>
        <w:tab/>
      </w:r>
      <w:r w:rsidRPr="00DE40A3">
        <w:rPr>
          <w:rFonts w:eastAsia="Calibri"/>
          <w:szCs w:val="24"/>
        </w:rPr>
        <w:tab/>
      </w:r>
      <w:r w:rsidRPr="00DE40A3">
        <w:rPr>
          <w:rFonts w:eastAsia="Calibri"/>
          <w:szCs w:val="24"/>
          <w:u w:val="single"/>
        </w:rPr>
        <w:t>Annual Fee</w:t>
      </w:r>
    </w:p>
    <w:p w14:paraId="73993137" w14:textId="77777777" w:rsidR="00DE40A3" w:rsidRPr="00DE40A3" w:rsidRDefault="00DE40A3" w:rsidP="00DE40A3">
      <w:pPr>
        <w:rPr>
          <w:rFonts w:eastAsia="Calibri"/>
          <w:szCs w:val="24"/>
        </w:rPr>
      </w:pPr>
      <w:r w:rsidRPr="00DE40A3">
        <w:rPr>
          <w:rFonts w:eastAsia="Calibri"/>
          <w:szCs w:val="24"/>
        </w:rPr>
        <w:t xml:space="preserve">Up to $499,999.99                  </w:t>
      </w:r>
      <w:r w:rsidRPr="00DE40A3">
        <w:rPr>
          <w:rFonts w:eastAsia="Calibri"/>
          <w:szCs w:val="24"/>
        </w:rPr>
        <w:tab/>
      </w:r>
      <w:r w:rsidRPr="00DE40A3">
        <w:rPr>
          <w:rFonts w:eastAsia="Calibri"/>
          <w:szCs w:val="24"/>
        </w:rPr>
        <w:tab/>
        <w:t>0.75%</w:t>
      </w:r>
    </w:p>
    <w:p w14:paraId="5701EFE8" w14:textId="77777777" w:rsidR="00DE40A3" w:rsidRPr="00DE40A3" w:rsidRDefault="00DE40A3" w:rsidP="00DE40A3">
      <w:pPr>
        <w:rPr>
          <w:rFonts w:eastAsia="Calibri"/>
          <w:szCs w:val="24"/>
        </w:rPr>
      </w:pPr>
      <w:r w:rsidRPr="00DE40A3">
        <w:rPr>
          <w:rFonts w:eastAsia="Calibri"/>
          <w:szCs w:val="24"/>
        </w:rPr>
        <w:t>$500,000 - $999,999.99         </w:t>
      </w:r>
      <w:r w:rsidRPr="00DE40A3">
        <w:rPr>
          <w:rFonts w:eastAsia="Calibri"/>
          <w:szCs w:val="24"/>
        </w:rPr>
        <w:tab/>
      </w:r>
      <w:r w:rsidRPr="00DE40A3">
        <w:rPr>
          <w:rFonts w:eastAsia="Calibri"/>
          <w:szCs w:val="24"/>
        </w:rPr>
        <w:tab/>
        <w:t>0.65%</w:t>
      </w:r>
    </w:p>
    <w:p w14:paraId="005D8AE6" w14:textId="77777777" w:rsidR="00DE40A3" w:rsidRPr="00DE40A3" w:rsidRDefault="00DE40A3" w:rsidP="00DE40A3">
      <w:pPr>
        <w:rPr>
          <w:rFonts w:eastAsia="Calibri"/>
          <w:szCs w:val="24"/>
        </w:rPr>
      </w:pPr>
      <w:r w:rsidRPr="00DE40A3">
        <w:rPr>
          <w:rFonts w:eastAsia="Calibri"/>
          <w:szCs w:val="24"/>
        </w:rPr>
        <w:t>$1,000,000 - $2,999,999.99</w:t>
      </w:r>
      <w:r w:rsidRPr="00DE40A3">
        <w:rPr>
          <w:rFonts w:eastAsia="Calibri"/>
          <w:szCs w:val="24"/>
        </w:rPr>
        <w:tab/>
      </w:r>
      <w:r w:rsidRPr="00DE40A3">
        <w:rPr>
          <w:rFonts w:eastAsia="Calibri"/>
          <w:szCs w:val="24"/>
        </w:rPr>
        <w:tab/>
        <w:t>0.50%</w:t>
      </w:r>
    </w:p>
    <w:p w14:paraId="1FA65773" w14:textId="77777777" w:rsidR="00DE40A3" w:rsidRPr="00DE40A3" w:rsidRDefault="00DE40A3" w:rsidP="00DE40A3">
      <w:pPr>
        <w:rPr>
          <w:rFonts w:eastAsia="Calibri"/>
          <w:szCs w:val="24"/>
        </w:rPr>
      </w:pPr>
      <w:r w:rsidRPr="00DE40A3">
        <w:rPr>
          <w:rFonts w:eastAsia="Calibri"/>
          <w:szCs w:val="24"/>
        </w:rPr>
        <w:t>$3,000,000 - $3,999,999.99</w:t>
      </w:r>
      <w:r w:rsidRPr="00DE40A3">
        <w:rPr>
          <w:rFonts w:eastAsia="Calibri"/>
          <w:szCs w:val="24"/>
        </w:rPr>
        <w:tab/>
      </w:r>
      <w:r w:rsidRPr="00DE40A3">
        <w:rPr>
          <w:rFonts w:eastAsia="Calibri"/>
          <w:szCs w:val="24"/>
        </w:rPr>
        <w:tab/>
        <w:t>0.40%</w:t>
      </w:r>
    </w:p>
    <w:p w14:paraId="4B758B9A" w14:textId="77777777" w:rsidR="00DE40A3" w:rsidRPr="00DE40A3" w:rsidRDefault="00DE40A3" w:rsidP="00DE40A3">
      <w:pPr>
        <w:rPr>
          <w:rFonts w:eastAsia="Calibri"/>
          <w:szCs w:val="24"/>
        </w:rPr>
      </w:pPr>
      <w:r w:rsidRPr="00DE40A3">
        <w:rPr>
          <w:rFonts w:eastAsia="Calibri"/>
          <w:szCs w:val="24"/>
        </w:rPr>
        <w:t>$4,000,000 - $4,999,999.99</w:t>
      </w:r>
      <w:r w:rsidRPr="00DE40A3">
        <w:rPr>
          <w:rFonts w:eastAsia="Calibri"/>
          <w:szCs w:val="24"/>
        </w:rPr>
        <w:tab/>
      </w:r>
      <w:r w:rsidRPr="00DE40A3">
        <w:rPr>
          <w:rFonts w:eastAsia="Calibri"/>
          <w:szCs w:val="24"/>
        </w:rPr>
        <w:tab/>
        <w:t>0.30%</w:t>
      </w:r>
    </w:p>
    <w:p w14:paraId="77797D57" w14:textId="77777777" w:rsidR="00DE40A3" w:rsidRPr="00DE40A3" w:rsidRDefault="00DE40A3" w:rsidP="00DE40A3">
      <w:pPr>
        <w:rPr>
          <w:rFonts w:eastAsia="Calibri"/>
          <w:szCs w:val="24"/>
        </w:rPr>
      </w:pPr>
      <w:r w:rsidRPr="00DE40A3">
        <w:rPr>
          <w:rFonts w:eastAsia="Calibri"/>
          <w:szCs w:val="24"/>
        </w:rPr>
        <w:t>$5,000,000 +</w:t>
      </w:r>
      <w:r w:rsidRPr="00DE40A3">
        <w:rPr>
          <w:rFonts w:eastAsia="Calibri"/>
          <w:szCs w:val="24"/>
        </w:rPr>
        <w:tab/>
      </w:r>
      <w:r w:rsidRPr="00DE40A3">
        <w:rPr>
          <w:rFonts w:eastAsia="Calibri"/>
          <w:szCs w:val="24"/>
        </w:rPr>
        <w:tab/>
      </w:r>
      <w:r w:rsidRPr="00DE40A3">
        <w:rPr>
          <w:rFonts w:eastAsia="Calibri"/>
          <w:szCs w:val="24"/>
        </w:rPr>
        <w:tab/>
      </w:r>
      <w:r w:rsidRPr="00DE40A3">
        <w:rPr>
          <w:rFonts w:eastAsia="Calibri"/>
          <w:szCs w:val="24"/>
        </w:rPr>
        <w:tab/>
        <w:t>0.10%</w:t>
      </w:r>
    </w:p>
    <w:p w14:paraId="4AF9EAFD" w14:textId="77777777" w:rsidR="00DE40A3" w:rsidRDefault="00DE40A3" w:rsidP="00403ADD">
      <w:pPr>
        <w:rPr>
          <w:rFonts w:ascii="Arial" w:hAnsi="Arial" w:cs="Arial"/>
          <w:sz w:val="20"/>
          <w:szCs w:val="20"/>
        </w:rPr>
      </w:pPr>
    </w:p>
    <w:p w14:paraId="78D1F843" w14:textId="31C2400E" w:rsidR="009E72CB" w:rsidRPr="002D21A0" w:rsidRDefault="009E72CB" w:rsidP="002D21A0">
      <w:pPr>
        <w:pStyle w:val="Heading2"/>
        <w:rPr>
          <w:rFonts w:ascii="Times New Roman" w:hAnsi="Times New Roman"/>
        </w:rPr>
      </w:pPr>
      <w:bookmarkStart w:id="12" w:name="_Toc208132667"/>
      <w:r w:rsidRPr="002D21A0">
        <w:t>Termination of Agreement</w:t>
      </w:r>
      <w:bookmarkEnd w:id="12"/>
    </w:p>
    <w:p w14:paraId="2A2E2DA2" w14:textId="77777777" w:rsidR="009E72CB" w:rsidRPr="00BA69CA" w:rsidRDefault="009E72CB" w:rsidP="00403ADD">
      <w:pPr>
        <w:rPr>
          <w:rFonts w:ascii="Times New Roman" w:hAnsi="Times New Roman"/>
        </w:rPr>
      </w:pPr>
    </w:p>
    <w:p w14:paraId="48996D1A" w14:textId="14913FA5" w:rsidR="009E72CB" w:rsidRDefault="007F1722" w:rsidP="00403ADD">
      <w:r>
        <w:t xml:space="preserve">All Clients should be aware that if the firm’s Brochure Documents are not provided to the client at least 48 hours prior to signing the advisory contract, the client has five business days in which to cancel the contract without penalty. </w:t>
      </w:r>
      <w:r w:rsidR="00747EFC">
        <w:t xml:space="preserve">Thereafter, </w:t>
      </w:r>
      <w:r w:rsidR="009E72CB" w:rsidRPr="00BA69CA">
        <w:t xml:space="preserve">Clients </w:t>
      </w:r>
      <w:r>
        <w:t xml:space="preserve">may </w:t>
      </w:r>
      <w:r w:rsidR="009E72CB" w:rsidRPr="00BA69CA">
        <w:t xml:space="preserve">terminate their </w:t>
      </w:r>
      <w:r w:rsidR="002D21A0">
        <w:t xml:space="preserve">agreement with us </w:t>
      </w:r>
      <w:r w:rsidR="00D15111">
        <w:t xml:space="preserve">in accordance with the termination provisions in the executed agreement. </w:t>
      </w:r>
    </w:p>
    <w:p w14:paraId="699BDD17" w14:textId="77777777" w:rsidR="00D15111" w:rsidRDefault="00D15111" w:rsidP="00403ADD"/>
    <w:p w14:paraId="4082FAC7" w14:textId="5B8CD0AD" w:rsidR="00D15111" w:rsidRDefault="00D15111" w:rsidP="00403ADD">
      <w:r>
        <w:t xml:space="preserve">Note that, upon termination, </w:t>
      </w:r>
      <w:r w:rsidR="00700C47">
        <w:t>no</w:t>
      </w:r>
      <w:r>
        <w:t xml:space="preserve"> prepa</w:t>
      </w:r>
      <w:r w:rsidR="00700C47">
        <w:t>id fees will be refunded in accordance with the firm’s executed agreement.</w:t>
      </w:r>
    </w:p>
    <w:p w14:paraId="11446A21" w14:textId="77777777" w:rsidR="00816EEB" w:rsidRDefault="00816EEB" w:rsidP="00403ADD"/>
    <w:p w14:paraId="75ECA4CB" w14:textId="67A16460" w:rsidR="00990729" w:rsidRDefault="00816EEB" w:rsidP="00990729">
      <w:pPr>
        <w:rPr>
          <w:rFonts w:eastAsia="Cambria"/>
          <w:color w:val="000000"/>
        </w:rPr>
      </w:pPr>
      <w:r w:rsidRPr="00BA69CA">
        <w:rPr>
          <w:rFonts w:eastAsia="Cambria"/>
          <w:color w:val="000000"/>
        </w:rPr>
        <w:t>Clients should note that lower fees for comparable services may be available from other sources.</w:t>
      </w:r>
      <w:r w:rsidR="005D0948">
        <w:rPr>
          <w:rFonts w:eastAsia="Cambria"/>
          <w:color w:val="000000"/>
        </w:rPr>
        <w:t xml:space="preserve"> </w:t>
      </w:r>
      <w:r w:rsidR="00AE61B5">
        <w:rPr>
          <w:rFonts w:eastAsia="Cambria"/>
          <w:color w:val="000000"/>
        </w:rPr>
        <w:t xml:space="preserve">Existing and </w:t>
      </w:r>
      <w:r w:rsidR="005D0948">
        <w:rPr>
          <w:rFonts w:eastAsia="Cambria"/>
          <w:color w:val="000000"/>
        </w:rPr>
        <w:t xml:space="preserve">previous clients of the firm may </w:t>
      </w:r>
      <w:r w:rsidR="00AE61B5">
        <w:rPr>
          <w:rFonts w:eastAsia="Cambria"/>
          <w:color w:val="000000"/>
        </w:rPr>
        <w:t xml:space="preserve">be paying or </w:t>
      </w:r>
      <w:r w:rsidR="005D0948">
        <w:rPr>
          <w:rFonts w:eastAsia="Cambria"/>
          <w:color w:val="000000"/>
        </w:rPr>
        <w:t xml:space="preserve">have paid more or less than </w:t>
      </w:r>
      <w:r w:rsidR="004A16D5">
        <w:rPr>
          <w:rFonts w:eastAsia="Cambria"/>
          <w:color w:val="000000"/>
        </w:rPr>
        <w:t>the current fee schedule.</w:t>
      </w:r>
    </w:p>
    <w:p w14:paraId="34832FDB" w14:textId="644CEB52" w:rsidR="001B6454" w:rsidRPr="00BA69CA" w:rsidRDefault="003A6EAA" w:rsidP="00990729">
      <w:pPr>
        <w:pStyle w:val="Heading1"/>
        <w:rPr>
          <w:rFonts w:ascii="Times New Roman" w:hAnsi="Times New Roman"/>
        </w:rPr>
      </w:pPr>
      <w:bookmarkStart w:id="13" w:name="_Toc208132668"/>
      <w:r>
        <w:t xml:space="preserve">Item 6 - </w:t>
      </w:r>
      <w:r w:rsidR="00184969" w:rsidRPr="00BA69CA">
        <w:t>Performance-Based Fees and Side-By-Side Management</w:t>
      </w:r>
      <w:bookmarkEnd w:id="13"/>
    </w:p>
    <w:p w14:paraId="27CFB449" w14:textId="77777777" w:rsidR="001B6454" w:rsidRPr="00BA69CA" w:rsidRDefault="00F03077">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52096" behindDoc="1" locked="0" layoutInCell="0" allowOverlap="1" wp14:anchorId="1B4E7794" wp14:editId="2C4E2948">
                <wp:simplePos x="0" y="0"/>
                <wp:positionH relativeFrom="column">
                  <wp:posOffset>-19050</wp:posOffset>
                </wp:positionH>
                <wp:positionV relativeFrom="paragraph">
                  <wp:posOffset>27940</wp:posOffset>
                </wp:positionV>
                <wp:extent cx="5981700" cy="0"/>
                <wp:effectExtent l="0" t="0" r="0" b="0"/>
                <wp:wrapNone/>
                <wp:docPr id="20"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49D87B" id="Line 10"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09E43A03" w14:textId="75BC3C9C" w:rsidR="00924EEB" w:rsidRDefault="00184969" w:rsidP="00700C47">
      <w:pPr>
        <w:rPr>
          <w:rFonts w:ascii="Arial" w:eastAsia="Cambria" w:hAnsi="Arial" w:cs="Arial"/>
          <w:color w:val="000000"/>
          <w:sz w:val="20"/>
          <w:szCs w:val="20"/>
        </w:rPr>
      </w:pPr>
      <w:r w:rsidRPr="00DB1446">
        <w:t xml:space="preserve">Neither FPH </w:t>
      </w:r>
      <w:r w:rsidR="00D70DAF" w:rsidRPr="00DB1446">
        <w:t>nor</w:t>
      </w:r>
      <w:r w:rsidRPr="00DB1446">
        <w:t xml:space="preserve"> any of its </w:t>
      </w:r>
      <w:r w:rsidR="002D5F74">
        <w:t>Supervised Person</w:t>
      </w:r>
      <w:r w:rsidRPr="00DB1446">
        <w:t xml:space="preserve">s accepts performance-based fees – that is, fees based on a share of capital gains on or capital appreciation of the assets of a client (such as a client that is a hedge fund or other pooled investment vehicle). Therefore, there are no conflicts of interest that FPH or its </w:t>
      </w:r>
      <w:r w:rsidR="002D5F74">
        <w:t>Supervised Person</w:t>
      </w:r>
      <w:r w:rsidRPr="00DB1446">
        <w:t xml:space="preserve">s may face by managing these accounts at the same time, </w:t>
      </w:r>
      <w:r w:rsidR="009C4336" w:rsidRPr="00DB1446">
        <w:t>including</w:t>
      </w:r>
      <w:r w:rsidRPr="00DB1446">
        <w:t xml:space="preserve"> any incentive to favor accounts for which FPH or its </w:t>
      </w:r>
      <w:r w:rsidR="002D5F74">
        <w:t>Supervised Person</w:t>
      </w:r>
      <w:r w:rsidRPr="00DB1446">
        <w:t>s receive a performance-based fee.</w:t>
      </w:r>
    </w:p>
    <w:p w14:paraId="47783728" w14:textId="77777777" w:rsidR="001B6454" w:rsidRPr="00BA69CA" w:rsidRDefault="001B6454">
      <w:pPr>
        <w:widowControl w:val="0"/>
        <w:autoSpaceDE w:val="0"/>
        <w:autoSpaceDN w:val="0"/>
        <w:adjustRightInd w:val="0"/>
        <w:spacing w:line="188" w:lineRule="exact"/>
        <w:rPr>
          <w:rFonts w:ascii="Times New Roman" w:hAnsi="Times New Roman"/>
          <w:szCs w:val="24"/>
        </w:rPr>
      </w:pPr>
    </w:p>
    <w:p w14:paraId="69E8D910" w14:textId="677B4A08" w:rsidR="001B6454" w:rsidRPr="00BA69CA" w:rsidRDefault="003A6EAA" w:rsidP="003A6EAA">
      <w:pPr>
        <w:pStyle w:val="Heading1"/>
        <w:rPr>
          <w:rFonts w:ascii="Times New Roman" w:hAnsi="Times New Roman"/>
        </w:rPr>
      </w:pPr>
      <w:bookmarkStart w:id="14" w:name="_Toc208132669"/>
      <w:r>
        <w:lastRenderedPageBreak/>
        <w:t xml:space="preserve">Item 7 - </w:t>
      </w:r>
      <w:r w:rsidR="00184969" w:rsidRPr="00BA69CA">
        <w:t>Types of Clients</w:t>
      </w:r>
      <w:bookmarkEnd w:id="14"/>
    </w:p>
    <w:p w14:paraId="24DC2B5B" w14:textId="77777777" w:rsidR="001B6454" w:rsidRPr="00BA69CA" w:rsidRDefault="00F03077">
      <w:pPr>
        <w:widowControl w:val="0"/>
        <w:autoSpaceDE w:val="0"/>
        <w:autoSpaceDN w:val="0"/>
        <w:adjustRightInd w:val="0"/>
        <w:spacing w:line="263" w:lineRule="exact"/>
        <w:rPr>
          <w:rFonts w:ascii="Times New Roman" w:hAnsi="Times New Roman"/>
          <w:szCs w:val="24"/>
        </w:rPr>
      </w:pPr>
      <w:r w:rsidRPr="00BA69CA">
        <w:rPr>
          <w:noProof/>
        </w:rPr>
        <mc:AlternateContent>
          <mc:Choice Requires="wps">
            <w:drawing>
              <wp:anchor distT="0" distB="0" distL="114300" distR="114300" simplePos="0" relativeHeight="251653120" behindDoc="1" locked="0" layoutInCell="0" allowOverlap="1" wp14:anchorId="4D9271B1" wp14:editId="06207888">
                <wp:simplePos x="0" y="0"/>
                <wp:positionH relativeFrom="column">
                  <wp:posOffset>-19050</wp:posOffset>
                </wp:positionH>
                <wp:positionV relativeFrom="paragraph">
                  <wp:posOffset>27940</wp:posOffset>
                </wp:positionV>
                <wp:extent cx="5981700" cy="0"/>
                <wp:effectExtent l="0" t="0" r="0" b="0"/>
                <wp:wrapNone/>
                <wp:docPr id="19"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56AD2C" id="Line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SasAEAAEgDAAAOAAAAZHJzL2Uyb0RvYy54bWysU8Fu2zAMvQ/YPwi6L3YKtGuNOD2k6y7d&#10;FqDdBzCSbAuTRYFUYufvJ6lJWmy3YT4Ikkg+vfdIr+7n0YmDIbboW7lc1FIYr1Bb37fy58vjp1sp&#10;OILX4NCbVh4Ny/v1xw+rKTTmCgd02pBIIJ6bKbRyiDE0VcVqMCPwAoPxKdghjRDTkfpKE0wJfXTV&#10;VV3fVBOSDoTKMKfbh9egXBf8rjMq/ug6NlG4ViZusaxU1l1eq/UKmp4gDFadaMA/sBjB+vToBeoB&#10;Iog92b+gRqsIGbu4UDhW2HVWmaIhqVnWf6h5HiCYoiWZw+FiE/8/WPX9sPFbytTV7J/DE6pfLDxu&#10;BvC9KQRejiE1bpmtqqbAzaUkHzhsSeymb6hTDuwjFhfmjsYMmfSJuZh9vJht5ihUury+u11+rlNP&#10;1DlWQXMuDMTxq8FR5E0rnfXZB2jg8MQxE4HmnJKvPT5a50ovnRdTK2/qu+tSwOiszsGcxtTvNo7E&#10;AfI0lK+oSpH3aYR7rwvYYEB/Oe0jWPe6T487fzIj68/Dxs0O9XFLZ5NSuwrL02jleXh/LtVvP8D6&#10;NwAAAP//AwBQSwMEFAAGAAgAAAAhAIaGZXbZAAAABgEAAA8AAABkcnMvZG93bnJldi54bWxMj8tO&#10;wzAQRfdI/IM1SGxQ64RWQEOcCip1yYICezceYlM/oozThr9nYEOXR3d075l6PQUvjjiQS1FBOS9A&#10;YGyTcbFT8P62nT2AoKyj0T5FVPCNBOvm8qLWlUmn+IrHXe4El0SqtAKbc19JSa3FoGmeeoycfaYh&#10;6Mw4dNIM+sTlwcvboriTQbvIC1b3uLHYHnZjUOC+BiLbls8l+cN2czN6d//yodT11fT0CCLjlP+P&#10;4Vef1aFhp30aoyHhFcwW/EpWsFyC4Hi1WDHv/1g2tTzXb34AAAD//wMAUEsBAi0AFAAGAAgAAAAh&#10;ALaDOJL+AAAA4QEAABMAAAAAAAAAAAAAAAAAAAAAAFtDb250ZW50X1R5cGVzXS54bWxQSwECLQAU&#10;AAYACAAAACEAOP0h/9YAAACUAQAACwAAAAAAAAAAAAAAAAAvAQAAX3JlbHMvLnJlbHNQSwECLQAU&#10;AAYACAAAACEAB6zEmrABAABIAwAADgAAAAAAAAAAAAAAAAAuAgAAZHJzL2Uyb0RvYy54bWxQSwEC&#10;LQAUAAYACAAAACEAhoZldtkAAAAGAQAADwAAAAAAAAAAAAAAAAAKBAAAZHJzL2Rvd25yZXYueG1s&#10;UEsFBgAAAAAEAAQA8wAAABAFAAAAAA==&#10;" o:allowincell="f" strokeweight=".16931mm"/>
            </w:pict>
          </mc:Fallback>
        </mc:AlternateContent>
      </w:r>
    </w:p>
    <w:p w14:paraId="6B308BBD" w14:textId="31BB180F" w:rsidR="0054396F" w:rsidRDefault="00184969" w:rsidP="00403ADD">
      <w:r w:rsidRPr="00BA69CA">
        <w:t xml:space="preserve">FPH provides </w:t>
      </w:r>
      <w:r w:rsidR="0017570D">
        <w:t xml:space="preserve">its </w:t>
      </w:r>
      <w:r w:rsidRPr="00BA69CA">
        <w:t>services</w:t>
      </w:r>
      <w:r w:rsidR="00B741ED" w:rsidRPr="00BA69CA">
        <w:t xml:space="preserve"> primarily to</w:t>
      </w:r>
      <w:r w:rsidRPr="00BA69CA">
        <w:t xml:space="preserve"> </w:t>
      </w:r>
      <w:r w:rsidR="00637F5B">
        <w:t>individuals</w:t>
      </w:r>
      <w:r w:rsidR="00576872">
        <w:t>,</w:t>
      </w:r>
      <w:r w:rsidR="00637F5B">
        <w:t xml:space="preserve"> families</w:t>
      </w:r>
      <w:r w:rsidR="00576872">
        <w:t>,</w:t>
      </w:r>
      <w:r w:rsidR="00637F5B">
        <w:t xml:space="preserve"> and </w:t>
      </w:r>
      <w:r w:rsidR="00576872">
        <w:t xml:space="preserve">small </w:t>
      </w:r>
      <w:r w:rsidR="00637F5B">
        <w:t>businesses</w:t>
      </w:r>
      <w:r w:rsidR="00576872">
        <w:t xml:space="preserve"> FPH</w:t>
      </w:r>
      <w:r w:rsidR="00C357F6" w:rsidRPr="00BA69CA">
        <w:t xml:space="preserve">. </w:t>
      </w:r>
      <w:r w:rsidR="00576872">
        <w:t>FPH does not serve institutional investors such as pension funds, endowments, charitable organizations, or hedge funds. Similarly, FPH does not generally serve the high-net worth or ultra-high net worth market segments.</w:t>
      </w:r>
    </w:p>
    <w:p w14:paraId="72D063DD" w14:textId="77777777" w:rsidR="001B6454" w:rsidRPr="00BA69CA" w:rsidRDefault="001B6454">
      <w:pPr>
        <w:widowControl w:val="0"/>
        <w:autoSpaceDE w:val="0"/>
        <w:autoSpaceDN w:val="0"/>
        <w:adjustRightInd w:val="0"/>
        <w:spacing w:line="181" w:lineRule="exact"/>
        <w:rPr>
          <w:rFonts w:ascii="Times New Roman" w:hAnsi="Times New Roman"/>
          <w:szCs w:val="24"/>
        </w:rPr>
      </w:pPr>
    </w:p>
    <w:p w14:paraId="00B19540" w14:textId="77777777" w:rsidR="001B6454" w:rsidRPr="00BA69CA" w:rsidRDefault="001B6454">
      <w:pPr>
        <w:widowControl w:val="0"/>
        <w:autoSpaceDE w:val="0"/>
        <w:autoSpaceDN w:val="0"/>
        <w:adjustRightInd w:val="0"/>
        <w:spacing w:line="183" w:lineRule="exact"/>
        <w:rPr>
          <w:rFonts w:ascii="Times New Roman" w:hAnsi="Times New Roman"/>
          <w:szCs w:val="24"/>
        </w:rPr>
      </w:pPr>
    </w:p>
    <w:p w14:paraId="37B76402" w14:textId="52B0A16E" w:rsidR="001B6454" w:rsidRPr="00BA69CA" w:rsidRDefault="003A6EAA" w:rsidP="003A6EAA">
      <w:pPr>
        <w:pStyle w:val="Heading1"/>
        <w:rPr>
          <w:rFonts w:ascii="Times New Roman" w:hAnsi="Times New Roman"/>
        </w:rPr>
      </w:pPr>
      <w:bookmarkStart w:id="15" w:name="_Toc208132670"/>
      <w:r>
        <w:t xml:space="preserve">Item 8 - </w:t>
      </w:r>
      <w:r w:rsidR="00184969" w:rsidRPr="00BA69CA">
        <w:t>Methods of Analysis, Investment Strategies and Risk of Loss</w:t>
      </w:r>
      <w:bookmarkEnd w:id="15"/>
    </w:p>
    <w:p w14:paraId="11847D91" w14:textId="77777777" w:rsidR="001B6454" w:rsidRPr="00BA69CA" w:rsidRDefault="00F03077">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54144" behindDoc="1" locked="0" layoutInCell="0" allowOverlap="1" wp14:anchorId="26BCBC18" wp14:editId="3188B185">
                <wp:simplePos x="0" y="0"/>
                <wp:positionH relativeFrom="column">
                  <wp:posOffset>-19050</wp:posOffset>
                </wp:positionH>
                <wp:positionV relativeFrom="paragraph">
                  <wp:posOffset>27940</wp:posOffset>
                </wp:positionV>
                <wp:extent cx="5981700" cy="0"/>
                <wp:effectExtent l="0" t="0" r="0" b="0"/>
                <wp:wrapNone/>
                <wp:docPr id="18"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1DAC7" id="Line 1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22D1E4A4" w14:textId="77777777" w:rsidR="001B6454" w:rsidRPr="00403ADD" w:rsidRDefault="00184969">
      <w:pPr>
        <w:widowControl w:val="0"/>
        <w:autoSpaceDE w:val="0"/>
        <w:autoSpaceDN w:val="0"/>
        <w:adjustRightInd w:val="0"/>
        <w:rPr>
          <w:szCs w:val="24"/>
          <w:u w:val="single"/>
        </w:rPr>
      </w:pPr>
      <w:r w:rsidRPr="00403ADD">
        <w:rPr>
          <w:rFonts w:cs="Arial"/>
          <w:szCs w:val="24"/>
          <w:u w:val="single"/>
        </w:rPr>
        <w:t>Methods of Analysis</w:t>
      </w:r>
    </w:p>
    <w:p w14:paraId="693D2D8F" w14:textId="77777777" w:rsidR="001B6454" w:rsidRPr="00BA69CA" w:rsidRDefault="001B6454">
      <w:pPr>
        <w:widowControl w:val="0"/>
        <w:autoSpaceDE w:val="0"/>
        <w:autoSpaceDN w:val="0"/>
        <w:adjustRightInd w:val="0"/>
        <w:spacing w:line="230" w:lineRule="exact"/>
        <w:rPr>
          <w:rFonts w:ascii="Times New Roman" w:hAnsi="Times New Roman"/>
          <w:szCs w:val="24"/>
        </w:rPr>
      </w:pPr>
    </w:p>
    <w:p w14:paraId="6B09B9D0" w14:textId="685DDBEF" w:rsidR="001B6454" w:rsidRPr="00BA69CA" w:rsidRDefault="00184969" w:rsidP="00403ADD">
      <w:pPr>
        <w:rPr>
          <w:rFonts w:ascii="Times New Roman" w:hAnsi="Times New Roman"/>
          <w:szCs w:val="24"/>
        </w:rPr>
      </w:pPr>
      <w:r w:rsidRPr="00BA69CA">
        <w:t xml:space="preserve">FPH’s securities analysis methods </w:t>
      </w:r>
      <w:r w:rsidR="005437AE" w:rsidRPr="00BA69CA">
        <w:t xml:space="preserve">generally </w:t>
      </w:r>
      <w:r w:rsidR="009C4336" w:rsidRPr="00BA69CA">
        <w:t>involve</w:t>
      </w:r>
      <w:r w:rsidR="005437AE" w:rsidRPr="00BA69CA">
        <w:t xml:space="preserve"> the application of academically and empirically supported investment principles including Modern Portfolio Theory, Efficient Markets Hypotheses, and Random Walk Theory, and may also incorporate elements of behavioral finance</w:t>
      </w:r>
      <w:r w:rsidRPr="00BA69CA">
        <w:t>.</w:t>
      </w:r>
      <w:r w:rsidR="00403ADD">
        <w:rPr>
          <w:rFonts w:ascii="Times New Roman" w:hAnsi="Times New Roman"/>
          <w:szCs w:val="24"/>
        </w:rPr>
        <w:t xml:space="preserve"> </w:t>
      </w:r>
      <w:r w:rsidR="005437AE" w:rsidRPr="00BA69CA">
        <w:t xml:space="preserve">Recommendations are typically supported by </w:t>
      </w:r>
      <w:r w:rsidRPr="00BA69CA">
        <w:t>peer-reviewed academic and professional literature.</w:t>
      </w:r>
    </w:p>
    <w:p w14:paraId="6F2A4BDB" w14:textId="77777777" w:rsidR="001B6454" w:rsidRPr="00BA69CA" w:rsidRDefault="001B6454" w:rsidP="00403ADD">
      <w:pPr>
        <w:rPr>
          <w:rFonts w:ascii="Times New Roman" w:hAnsi="Times New Roman"/>
          <w:szCs w:val="24"/>
        </w:rPr>
      </w:pPr>
    </w:p>
    <w:p w14:paraId="44AD14F5" w14:textId="6D3AE557" w:rsidR="001B6454" w:rsidRPr="00BA69CA" w:rsidRDefault="00184969" w:rsidP="00403ADD">
      <w:r w:rsidRPr="00BA69CA">
        <w:t>The main sources of information</w:t>
      </w:r>
      <w:r w:rsidR="005254DE" w:rsidRPr="00BA69CA">
        <w:t xml:space="preserve"> FPH </w:t>
      </w:r>
      <w:r w:rsidRPr="00BA69CA">
        <w:t xml:space="preserve">uses include financial newspapers and magazines, </w:t>
      </w:r>
      <w:r w:rsidR="005254DE" w:rsidRPr="00BA69CA">
        <w:t>financial websites</w:t>
      </w:r>
      <w:r w:rsidR="004C70D0" w:rsidRPr="00BA69CA">
        <w:t>,</w:t>
      </w:r>
      <w:r w:rsidR="005254DE" w:rsidRPr="00BA69CA">
        <w:t xml:space="preserve"> </w:t>
      </w:r>
      <w:r w:rsidR="00A97A37" w:rsidRPr="00BA69CA">
        <w:t>prospectuses,</w:t>
      </w:r>
      <w:r w:rsidRPr="00BA69CA">
        <w:t xml:space="preserve"> and filings with the SEC, and especially published academic and professional research papers</w:t>
      </w:r>
      <w:r w:rsidR="007355FB" w:rsidRPr="00BA69CA">
        <w:t>,</w:t>
      </w:r>
      <w:r w:rsidRPr="00BA69CA">
        <w:t xml:space="preserve"> including FPH's own published research</w:t>
      </w:r>
      <w:r w:rsidR="005254DE" w:rsidRPr="00BA69CA">
        <w:t xml:space="preserve"> and articles</w:t>
      </w:r>
      <w:r w:rsidR="00C357F6" w:rsidRPr="00BA69CA">
        <w:t xml:space="preserve">. </w:t>
      </w:r>
      <w:r w:rsidR="005437AE" w:rsidRPr="00BA69CA">
        <w:t>To the extent that financial planning recommendations may also include tax and legal issues, FPH strives to support its guidance with the IRS and federal and state laws as primary source material</w:t>
      </w:r>
      <w:r w:rsidR="00C357F6" w:rsidRPr="00BA69CA">
        <w:t xml:space="preserve">. </w:t>
      </w:r>
      <w:r w:rsidR="00477B17" w:rsidRPr="00BA69CA">
        <w:t>FPH</w:t>
      </w:r>
      <w:r w:rsidR="005437AE" w:rsidRPr="00BA69CA">
        <w:t xml:space="preserve"> often work</w:t>
      </w:r>
      <w:r w:rsidR="00477B17" w:rsidRPr="00BA69CA">
        <w:t>s</w:t>
      </w:r>
      <w:r w:rsidR="005437AE" w:rsidRPr="00BA69CA">
        <w:t xml:space="preserve"> in concert with the Client’s tax and legal advisor</w:t>
      </w:r>
      <w:r w:rsidR="00AF0977" w:rsidRPr="00BA69CA">
        <w:t>s</w:t>
      </w:r>
      <w:r w:rsidR="00C357F6" w:rsidRPr="00BA69CA">
        <w:t xml:space="preserve">. </w:t>
      </w:r>
      <w:r w:rsidR="005437AE" w:rsidRPr="00BA69CA">
        <w:t>With respect to tax and legal issues, FPH does not provide specific tax and legal guidance, but rather strives to raise awareness of important tax and legal issues</w:t>
      </w:r>
      <w:r w:rsidR="00C357F6" w:rsidRPr="00BA69CA">
        <w:t xml:space="preserve">. </w:t>
      </w:r>
      <w:r w:rsidR="005437AE" w:rsidRPr="00BA69CA">
        <w:t>It is expected that Client’s will then discuss these issues with their respective tax and legal advisors</w:t>
      </w:r>
      <w:r w:rsidR="00C357F6" w:rsidRPr="00BA69CA">
        <w:t xml:space="preserve">. </w:t>
      </w:r>
      <w:r w:rsidR="00BC5881" w:rsidRPr="00BA69CA">
        <w:t>FPH bears no responsibility for decisions Clients may make on such matters.</w:t>
      </w:r>
    </w:p>
    <w:p w14:paraId="3F09D358" w14:textId="77777777" w:rsidR="007355FB" w:rsidRPr="00BA69CA" w:rsidRDefault="007355FB" w:rsidP="00403ADD"/>
    <w:p w14:paraId="16260920" w14:textId="6C30DDB9" w:rsidR="00E60D20" w:rsidRPr="00403ADD" w:rsidRDefault="00BC5881" w:rsidP="00403ADD">
      <w:r w:rsidRPr="00BA69CA">
        <w:t>All Clients should be aware that i</w:t>
      </w:r>
      <w:r w:rsidR="007355FB" w:rsidRPr="00BA69CA">
        <w:t xml:space="preserve">nvesting in securities involves </w:t>
      </w:r>
      <w:r w:rsidR="009C4336" w:rsidRPr="00BA69CA">
        <w:t>the risk</w:t>
      </w:r>
      <w:r w:rsidR="007355FB" w:rsidRPr="00BA69CA">
        <w:t xml:space="preserve"> of loss that </w:t>
      </w:r>
      <w:r w:rsidRPr="00BA69CA">
        <w:t xml:space="preserve">he/she/they </w:t>
      </w:r>
      <w:r w:rsidR="007355FB" w:rsidRPr="00BA69CA">
        <w:t>should be</w:t>
      </w:r>
      <w:r w:rsidR="00403ADD">
        <w:t xml:space="preserve"> </w:t>
      </w:r>
      <w:r w:rsidR="007355FB" w:rsidRPr="00BA69CA">
        <w:t>prepared to bear. Clients bear all responsibility for their decisions to implement some, all, or none of the</w:t>
      </w:r>
      <w:r w:rsidR="00755F38" w:rsidRPr="00BA69CA">
        <w:t xml:space="preserve"> portfolio management</w:t>
      </w:r>
      <w:r w:rsidR="007355FB" w:rsidRPr="00BA69CA">
        <w:t xml:space="preserve"> recommendations </w:t>
      </w:r>
      <w:r w:rsidRPr="00BA69CA">
        <w:t>FPH may make.</w:t>
      </w:r>
    </w:p>
    <w:p w14:paraId="3CB31DFC" w14:textId="3E921321" w:rsidR="00E60D20" w:rsidRPr="00BA69CA" w:rsidRDefault="00E60D20">
      <w:pPr>
        <w:widowControl w:val="0"/>
        <w:autoSpaceDE w:val="0"/>
        <w:autoSpaceDN w:val="0"/>
        <w:adjustRightInd w:val="0"/>
        <w:rPr>
          <w:rFonts w:ascii="Arial" w:hAnsi="Arial" w:cs="Arial"/>
          <w:b/>
          <w:bCs/>
          <w:sz w:val="20"/>
          <w:szCs w:val="20"/>
        </w:rPr>
      </w:pPr>
    </w:p>
    <w:p w14:paraId="04F4B6E1" w14:textId="77777777" w:rsidR="00E60D20" w:rsidRPr="00BA69CA" w:rsidRDefault="00E60D20">
      <w:pPr>
        <w:widowControl w:val="0"/>
        <w:autoSpaceDE w:val="0"/>
        <w:autoSpaceDN w:val="0"/>
        <w:adjustRightInd w:val="0"/>
        <w:rPr>
          <w:rFonts w:ascii="Arial" w:hAnsi="Arial" w:cs="Arial"/>
          <w:b/>
          <w:bCs/>
          <w:sz w:val="20"/>
          <w:szCs w:val="20"/>
        </w:rPr>
      </w:pPr>
    </w:p>
    <w:p w14:paraId="5C875985" w14:textId="77777777" w:rsidR="001B6454" w:rsidRPr="00403ADD" w:rsidRDefault="00184969">
      <w:pPr>
        <w:widowControl w:val="0"/>
        <w:autoSpaceDE w:val="0"/>
        <w:autoSpaceDN w:val="0"/>
        <w:adjustRightInd w:val="0"/>
        <w:rPr>
          <w:szCs w:val="24"/>
          <w:u w:val="single"/>
        </w:rPr>
      </w:pPr>
      <w:r w:rsidRPr="00403ADD">
        <w:rPr>
          <w:rFonts w:cs="Arial"/>
          <w:szCs w:val="24"/>
          <w:u w:val="single"/>
        </w:rPr>
        <w:t>Use of Significant Investment Strategy</w:t>
      </w:r>
    </w:p>
    <w:p w14:paraId="4F822266" w14:textId="77777777" w:rsidR="001B6454" w:rsidRPr="00BA69CA" w:rsidRDefault="001B6454">
      <w:pPr>
        <w:widowControl w:val="0"/>
        <w:autoSpaceDE w:val="0"/>
        <w:autoSpaceDN w:val="0"/>
        <w:adjustRightInd w:val="0"/>
        <w:spacing w:line="232" w:lineRule="exact"/>
        <w:rPr>
          <w:rFonts w:ascii="Times New Roman" w:hAnsi="Times New Roman"/>
          <w:szCs w:val="24"/>
        </w:rPr>
      </w:pPr>
    </w:p>
    <w:p w14:paraId="4E6E9026" w14:textId="3382E67F" w:rsidR="001B6454" w:rsidRPr="00BA69CA" w:rsidRDefault="00184969" w:rsidP="00403ADD">
      <w:pPr>
        <w:rPr>
          <w:rFonts w:ascii="Times New Roman" w:hAnsi="Times New Roman"/>
          <w:szCs w:val="24"/>
        </w:rPr>
      </w:pPr>
      <w:r w:rsidRPr="00BA69CA">
        <w:t>FPH’s investment philosophy incorporates</w:t>
      </w:r>
      <w:r w:rsidR="00AF2D88" w:rsidRPr="00BA69CA">
        <w:t xml:space="preserve"> academic concepts including Random Walk Theory, Efficient Market Hypothesis, and </w:t>
      </w:r>
      <w:r w:rsidRPr="00BA69CA">
        <w:t>Modern Portfolio Theory into its long</w:t>
      </w:r>
      <w:r w:rsidR="004C70D0" w:rsidRPr="00BA69CA">
        <w:t>-</w:t>
      </w:r>
      <w:r w:rsidRPr="00BA69CA">
        <w:t xml:space="preserve">term investment planning guidance. FPH’s broad investment philosophy generally strives to reduce or eliminate non-systematic and idiosyncratic portfolio risks through efficient diversification. FPH believes that there </w:t>
      </w:r>
      <w:r w:rsidR="002A097A" w:rsidRPr="00BA69CA">
        <w:t xml:space="preserve">should </w:t>
      </w:r>
      <w:r w:rsidRPr="00BA69CA">
        <w:t xml:space="preserve">be an academic basis or </w:t>
      </w:r>
      <w:r w:rsidR="002A097A" w:rsidRPr="00BA69CA">
        <w:t>empirical</w:t>
      </w:r>
      <w:r w:rsidRPr="00BA69CA">
        <w:t xml:space="preserve"> foundation for all</w:t>
      </w:r>
      <w:r w:rsidR="002A097A" w:rsidRPr="00BA69CA">
        <w:t xml:space="preserve"> portfolio management</w:t>
      </w:r>
      <w:r w:rsidRPr="00BA69CA">
        <w:t xml:space="preserve"> guidance provided.</w:t>
      </w:r>
      <w:r w:rsidR="00576872">
        <w:t xml:space="preserve"> For this </w:t>
      </w:r>
      <w:r w:rsidR="00355AD8">
        <w:t>reason,</w:t>
      </w:r>
      <w:r w:rsidR="00576872">
        <w:t xml:space="preserve"> FPH generally espouses passive portfolio management strategies </w:t>
      </w:r>
      <w:proofErr w:type="gramStart"/>
      <w:r w:rsidR="00576872">
        <w:t xml:space="preserve">in an </w:t>
      </w:r>
      <w:r w:rsidR="00355AD8">
        <w:t>effort</w:t>
      </w:r>
      <w:r w:rsidR="00576872">
        <w:t xml:space="preserve"> to</w:t>
      </w:r>
      <w:proofErr w:type="gramEnd"/>
      <w:r w:rsidR="00576872">
        <w:t xml:space="preserve"> minimize internal operating fees and expenses. </w:t>
      </w:r>
    </w:p>
    <w:p w14:paraId="029CEDA1" w14:textId="77777777" w:rsidR="0020534E" w:rsidRPr="00BA69CA" w:rsidRDefault="0020534E" w:rsidP="00403ADD"/>
    <w:p w14:paraId="3942EE1C" w14:textId="21D2F820" w:rsidR="00924EEB" w:rsidRDefault="007F370D" w:rsidP="00403ADD">
      <w:pPr>
        <w:rPr>
          <w:color w:val="000000"/>
        </w:rPr>
      </w:pPr>
      <w:r w:rsidRPr="00BA69CA">
        <w:rPr>
          <w:color w:val="000000"/>
        </w:rPr>
        <w:t>FPH strongly discourages frequent trading</w:t>
      </w:r>
      <w:r w:rsidR="007355FB" w:rsidRPr="00BA69CA">
        <w:rPr>
          <w:color w:val="000000"/>
        </w:rPr>
        <w:t xml:space="preserve"> and </w:t>
      </w:r>
      <w:r w:rsidR="009C4336" w:rsidRPr="00BA69CA">
        <w:rPr>
          <w:color w:val="000000"/>
        </w:rPr>
        <w:t>market timing</w:t>
      </w:r>
      <w:r w:rsidR="002F010D" w:rsidRPr="00BA69CA">
        <w:rPr>
          <w:color w:val="000000"/>
        </w:rPr>
        <w:t xml:space="preserve"> </w:t>
      </w:r>
      <w:r w:rsidRPr="00BA69CA">
        <w:rPr>
          <w:color w:val="000000"/>
        </w:rPr>
        <w:t>and encourages efforts to minimize internal investment expenses</w:t>
      </w:r>
      <w:r w:rsidR="00C357F6" w:rsidRPr="00BA69CA">
        <w:rPr>
          <w:color w:val="000000"/>
        </w:rPr>
        <w:t xml:space="preserve">. </w:t>
      </w:r>
      <w:r w:rsidRPr="00BA69CA">
        <w:rPr>
          <w:color w:val="000000"/>
        </w:rPr>
        <w:t xml:space="preserve">While FPH does not make blanket recommendations </w:t>
      </w:r>
      <w:r w:rsidR="00700C47" w:rsidRPr="00BA69CA">
        <w:rPr>
          <w:color w:val="000000"/>
        </w:rPr>
        <w:t>for</w:t>
      </w:r>
      <w:r w:rsidRPr="00BA69CA">
        <w:rPr>
          <w:color w:val="000000"/>
        </w:rPr>
        <w:t xml:space="preserve"> any type of security, passively managed index funds </w:t>
      </w:r>
      <w:r w:rsidR="002A097A" w:rsidRPr="00BA69CA">
        <w:rPr>
          <w:color w:val="000000"/>
        </w:rPr>
        <w:t xml:space="preserve">and ETFs </w:t>
      </w:r>
      <w:r w:rsidRPr="00BA69CA">
        <w:rPr>
          <w:color w:val="000000"/>
        </w:rPr>
        <w:t xml:space="preserve">are a </w:t>
      </w:r>
      <w:r w:rsidR="00BC5881" w:rsidRPr="00BA69CA">
        <w:rPr>
          <w:color w:val="000000"/>
        </w:rPr>
        <w:t xml:space="preserve">consistent recommendation for the core </w:t>
      </w:r>
      <w:r w:rsidR="00576872">
        <w:rPr>
          <w:color w:val="000000"/>
        </w:rPr>
        <w:t xml:space="preserve">equity (stock) portion </w:t>
      </w:r>
      <w:r w:rsidR="00BC5881" w:rsidRPr="00BA69CA">
        <w:rPr>
          <w:color w:val="000000"/>
        </w:rPr>
        <w:t xml:space="preserve">of </w:t>
      </w:r>
      <w:r w:rsidRPr="00BA69CA">
        <w:rPr>
          <w:color w:val="000000"/>
        </w:rPr>
        <w:t>many client portfolios.</w:t>
      </w:r>
      <w:r w:rsidR="00576872">
        <w:rPr>
          <w:color w:val="000000"/>
        </w:rPr>
        <w:t xml:space="preserve">  For the fixed income portion of client portfolios, we prefer individual certificates of deposit (CDs), treasuries, agency securities, corporate</w:t>
      </w:r>
      <w:r w:rsidR="00355AD8">
        <w:rPr>
          <w:color w:val="000000"/>
        </w:rPr>
        <w:t xml:space="preserve"> bonds</w:t>
      </w:r>
      <w:r w:rsidR="00576872">
        <w:rPr>
          <w:color w:val="000000"/>
        </w:rPr>
        <w:t xml:space="preserve">, and municipal bonds instead of </w:t>
      </w:r>
      <w:r w:rsidR="00355AD8">
        <w:rPr>
          <w:color w:val="000000"/>
        </w:rPr>
        <w:t xml:space="preserve">bond </w:t>
      </w:r>
      <w:r w:rsidR="00576872">
        <w:rPr>
          <w:color w:val="000000"/>
        </w:rPr>
        <w:t>mutual funds.  For liquid</w:t>
      </w:r>
      <w:r w:rsidR="00355AD8">
        <w:rPr>
          <w:color w:val="000000"/>
        </w:rPr>
        <w:t xml:space="preserve"> cash reserves</w:t>
      </w:r>
      <w:r w:rsidR="00576872">
        <w:rPr>
          <w:color w:val="000000"/>
        </w:rPr>
        <w:t xml:space="preserve">, we tend to use money </w:t>
      </w:r>
      <w:r w:rsidR="00576872">
        <w:rPr>
          <w:color w:val="000000"/>
        </w:rPr>
        <w:lastRenderedPageBreak/>
        <w:t>market funds, T-bills, and short-term CDs.</w:t>
      </w:r>
      <w:r w:rsidR="00355AD8">
        <w:rPr>
          <w:color w:val="000000"/>
        </w:rPr>
        <w:t xml:space="preserve"> We employ </w:t>
      </w:r>
      <w:r w:rsidR="007F1722">
        <w:rPr>
          <w:color w:val="000000"/>
        </w:rPr>
        <w:t>laddering and</w:t>
      </w:r>
      <w:r w:rsidR="00355AD8">
        <w:rPr>
          <w:color w:val="000000"/>
        </w:rPr>
        <w:t xml:space="preserve"> may lengthen or shorten the long end depending upon the interest rate environment.</w:t>
      </w:r>
    </w:p>
    <w:p w14:paraId="40686D62" w14:textId="77777777" w:rsidR="007F1722" w:rsidRDefault="007F1722" w:rsidP="00403ADD">
      <w:pPr>
        <w:rPr>
          <w:color w:val="000000"/>
        </w:rPr>
      </w:pPr>
    </w:p>
    <w:p w14:paraId="7B4173AD" w14:textId="11DC094E" w:rsidR="00355AD8" w:rsidRPr="00BA69CA" w:rsidRDefault="00355AD8" w:rsidP="00403ADD">
      <w:pPr>
        <w:rPr>
          <w:color w:val="000000"/>
        </w:rPr>
      </w:pPr>
      <w:r>
        <w:rPr>
          <w:color w:val="000000"/>
        </w:rPr>
        <w:t>For retirement spending, we believe there is increasing academic research support for dynamic distribution strategies, but we adopt a heuristic approach that balances empirically optimal spending with the need to deploy spending strategies that are practically implementable by retail consumers.  We use our own proprietary retirement saving and spending simulation software (Nest Egg Guru) to model and iterate</w:t>
      </w:r>
      <w:r w:rsidR="00ED6291">
        <w:rPr>
          <w:color w:val="000000"/>
        </w:rPr>
        <w:t xml:space="preserve"> potential portfolio designs.</w:t>
      </w:r>
    </w:p>
    <w:p w14:paraId="2C441830" w14:textId="77777777" w:rsidR="001B6454" w:rsidRPr="00BA69CA" w:rsidRDefault="001B6454">
      <w:pPr>
        <w:widowControl w:val="0"/>
        <w:autoSpaceDE w:val="0"/>
        <w:autoSpaceDN w:val="0"/>
        <w:adjustRightInd w:val="0"/>
        <w:spacing w:line="203" w:lineRule="exact"/>
        <w:rPr>
          <w:rFonts w:ascii="Times New Roman" w:hAnsi="Times New Roman"/>
          <w:szCs w:val="24"/>
        </w:rPr>
      </w:pPr>
    </w:p>
    <w:p w14:paraId="4B60B57D" w14:textId="73239D1D" w:rsidR="001B6454" w:rsidRPr="00BA69CA" w:rsidRDefault="005A23CE" w:rsidP="005A23CE">
      <w:pPr>
        <w:pStyle w:val="Heading1"/>
        <w:rPr>
          <w:rFonts w:ascii="Times New Roman" w:hAnsi="Times New Roman"/>
        </w:rPr>
      </w:pPr>
      <w:bookmarkStart w:id="16" w:name="_Toc208132671"/>
      <w:r>
        <w:t xml:space="preserve">Item 9 - </w:t>
      </w:r>
      <w:r w:rsidR="00184969" w:rsidRPr="00BA69CA">
        <w:t>Disciplinary Information</w:t>
      </w:r>
      <w:bookmarkEnd w:id="16"/>
    </w:p>
    <w:p w14:paraId="581F6442" w14:textId="77777777" w:rsidR="001B6454" w:rsidRPr="00BA69CA" w:rsidRDefault="00F03077">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55168" behindDoc="1" locked="0" layoutInCell="0" allowOverlap="1" wp14:anchorId="640F1C1F" wp14:editId="32B6C52D">
                <wp:simplePos x="0" y="0"/>
                <wp:positionH relativeFrom="column">
                  <wp:posOffset>-19050</wp:posOffset>
                </wp:positionH>
                <wp:positionV relativeFrom="paragraph">
                  <wp:posOffset>27940</wp:posOffset>
                </wp:positionV>
                <wp:extent cx="5981700" cy="0"/>
                <wp:effectExtent l="0" t="0" r="0" b="0"/>
                <wp:wrapNone/>
                <wp:docPr id="17"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CEA781" id="Line 13"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6D1ACAF3" w14:textId="2B8D76A8" w:rsidR="001B6454" w:rsidRPr="00DB1446" w:rsidRDefault="00184969" w:rsidP="00403ADD">
      <w:pPr>
        <w:rPr>
          <w:rFonts w:ascii="Times New Roman" w:hAnsi="Times New Roman"/>
          <w:szCs w:val="24"/>
        </w:rPr>
      </w:pPr>
      <w:r w:rsidRPr="00DB1446">
        <w:t xml:space="preserve">There are no disclosure events involving a criminal or civil action in a domestic, </w:t>
      </w:r>
      <w:r w:rsidR="003741FB" w:rsidRPr="00DB1446">
        <w:t>foreign,</w:t>
      </w:r>
      <w:r w:rsidRPr="00DB1446">
        <w:t xml:space="preserve"> or military court of competent jurisdiction in which FPH or its management personnel are involved.</w:t>
      </w:r>
    </w:p>
    <w:p w14:paraId="37E8ADC3" w14:textId="77777777" w:rsidR="001B6454" w:rsidRPr="00DB1446" w:rsidRDefault="001B6454" w:rsidP="00403ADD">
      <w:pPr>
        <w:rPr>
          <w:rFonts w:ascii="Times New Roman" w:hAnsi="Times New Roman"/>
          <w:szCs w:val="24"/>
        </w:rPr>
      </w:pPr>
    </w:p>
    <w:p w14:paraId="745ED173" w14:textId="5D2B7A8B" w:rsidR="001B6454" w:rsidRPr="00DB1446" w:rsidRDefault="00184969" w:rsidP="00403ADD">
      <w:pPr>
        <w:rPr>
          <w:rFonts w:ascii="Times New Roman" w:hAnsi="Times New Roman"/>
          <w:szCs w:val="24"/>
        </w:rPr>
      </w:pPr>
      <w:r w:rsidRPr="00DB1446">
        <w:t>There are no disclosure events involving an administrative proceeding before the SEC, any other federal regulatory agency, any state regulatory agency, or any foreign financial regulatory authority in which FPH or its management personnel are involved</w:t>
      </w:r>
      <w:r w:rsidR="00C357F6" w:rsidRPr="00DB1446">
        <w:t>.</w:t>
      </w:r>
      <w:r w:rsidR="00C357F6" w:rsidRPr="00DB1446">
        <w:rPr>
          <w:rFonts w:ascii="Times New Roman" w:hAnsi="Times New Roman"/>
          <w:szCs w:val="24"/>
        </w:rPr>
        <w:t xml:space="preserve"> </w:t>
      </w:r>
      <w:r w:rsidRPr="00DB1446">
        <w:t xml:space="preserve">There are no disclosure events involving </w:t>
      </w:r>
      <w:r w:rsidR="009C4336">
        <w:t>a</w:t>
      </w:r>
      <w:r w:rsidRPr="00DB1446">
        <w:t xml:space="preserve"> self-regulatory organization (SRO) proceeding in which FPH or its management personnel are involved.</w:t>
      </w:r>
    </w:p>
    <w:p w14:paraId="74963125" w14:textId="2A8153D4" w:rsidR="001B6454" w:rsidRPr="00BA69CA" w:rsidRDefault="001B6454">
      <w:pPr>
        <w:widowControl w:val="0"/>
        <w:autoSpaceDE w:val="0"/>
        <w:autoSpaceDN w:val="0"/>
        <w:adjustRightInd w:val="0"/>
        <w:spacing w:line="203" w:lineRule="exact"/>
        <w:rPr>
          <w:rFonts w:ascii="Times New Roman" w:hAnsi="Times New Roman"/>
          <w:szCs w:val="24"/>
        </w:rPr>
      </w:pPr>
    </w:p>
    <w:p w14:paraId="3E79C2DC" w14:textId="77777777" w:rsidR="00A069E8" w:rsidRPr="00BA69CA" w:rsidRDefault="00A069E8">
      <w:pPr>
        <w:widowControl w:val="0"/>
        <w:autoSpaceDE w:val="0"/>
        <w:autoSpaceDN w:val="0"/>
        <w:adjustRightInd w:val="0"/>
        <w:spacing w:line="203" w:lineRule="exact"/>
        <w:rPr>
          <w:rFonts w:ascii="Times New Roman" w:hAnsi="Times New Roman"/>
          <w:szCs w:val="24"/>
        </w:rPr>
      </w:pPr>
    </w:p>
    <w:p w14:paraId="40E848C2" w14:textId="3FA193F2" w:rsidR="001B6454" w:rsidRPr="00BA69CA" w:rsidRDefault="005A23CE" w:rsidP="005A23CE">
      <w:pPr>
        <w:pStyle w:val="Heading1"/>
        <w:rPr>
          <w:rFonts w:ascii="Times New Roman" w:hAnsi="Times New Roman"/>
        </w:rPr>
      </w:pPr>
      <w:bookmarkStart w:id="17" w:name="_Toc208132672"/>
      <w:r>
        <w:t xml:space="preserve">Item 10 - </w:t>
      </w:r>
      <w:r w:rsidR="00184969" w:rsidRPr="00BA69CA">
        <w:t>Other Financial Industry Activities and Affiliations</w:t>
      </w:r>
      <w:bookmarkEnd w:id="17"/>
      <w:r w:rsidR="00A069E8" w:rsidRPr="00BA69CA">
        <w:t xml:space="preserve"> </w:t>
      </w:r>
    </w:p>
    <w:p w14:paraId="2A3C1F1B" w14:textId="77777777" w:rsidR="001B6454" w:rsidRPr="00BA69CA" w:rsidRDefault="00F03077">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56192" behindDoc="1" locked="0" layoutInCell="0" allowOverlap="1" wp14:anchorId="28B7291D" wp14:editId="15B1083E">
                <wp:simplePos x="0" y="0"/>
                <wp:positionH relativeFrom="column">
                  <wp:posOffset>-19050</wp:posOffset>
                </wp:positionH>
                <wp:positionV relativeFrom="paragraph">
                  <wp:posOffset>27940</wp:posOffset>
                </wp:positionV>
                <wp:extent cx="5981700" cy="0"/>
                <wp:effectExtent l="0" t="0" r="0" b="0"/>
                <wp:wrapNone/>
                <wp:docPr id="1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1EC446" id="Line 1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6CB16171" w14:textId="6BF41852" w:rsidR="00A069E8" w:rsidRPr="00403ADD" w:rsidRDefault="00A069E8">
      <w:pPr>
        <w:widowControl w:val="0"/>
        <w:autoSpaceDE w:val="0"/>
        <w:autoSpaceDN w:val="0"/>
        <w:adjustRightInd w:val="0"/>
        <w:rPr>
          <w:rFonts w:cs="Arial"/>
          <w:szCs w:val="24"/>
        </w:rPr>
      </w:pPr>
    </w:p>
    <w:p w14:paraId="6AE34023" w14:textId="77777777" w:rsidR="007752A6" w:rsidRDefault="007752A6" w:rsidP="007752A6">
      <w:r>
        <w:t>Neither the firm or any management person is registered, or has an application pending to register, as a broker-dealer, a registered representative of a broker-dealer, a futures commission merchant, a commodity pool operator, a commodity trading advisor, or as an associated person of any of the foregoing entities.</w:t>
      </w:r>
    </w:p>
    <w:p w14:paraId="37CA4E09" w14:textId="77777777" w:rsidR="007752A6" w:rsidRDefault="007752A6" w:rsidP="007752A6"/>
    <w:p w14:paraId="2B2062BF" w14:textId="156BE838" w:rsidR="007752A6" w:rsidRDefault="007752A6" w:rsidP="007752A6">
      <w:r>
        <w:t>Financial Planning Hawaii</w:t>
      </w:r>
      <w:r w:rsidRPr="00505B01">
        <w:t xml:space="preserve"> has no material relationship or arrangement with any of the following:</w:t>
      </w:r>
      <w:r>
        <w:t xml:space="preserve"> </w:t>
      </w:r>
      <w:r w:rsidRPr="00505B01">
        <w:t>broker-dealers, municipal or government securities dealers, investment companies or other pooled</w:t>
      </w:r>
      <w:r>
        <w:t xml:space="preserve"> </w:t>
      </w:r>
      <w:r w:rsidRPr="00505B01">
        <w:t>investments, closed-end investment companies or unit investment trusts, hedge funds or offshore funds,</w:t>
      </w:r>
      <w:r>
        <w:t xml:space="preserve"> </w:t>
      </w:r>
      <w:r w:rsidRPr="00505B01">
        <w:t>other investment advisors or financial planners, futures commission merchants, commodity trading</w:t>
      </w:r>
      <w:r>
        <w:t xml:space="preserve"> </w:t>
      </w:r>
      <w:r w:rsidRPr="00505B01">
        <w:t>advisors, banking or thrift institutions, accountancy firms or law firms.</w:t>
      </w:r>
    </w:p>
    <w:p w14:paraId="27399D49" w14:textId="77777777" w:rsidR="007752A6" w:rsidRPr="00505B01" w:rsidRDefault="007752A6" w:rsidP="007752A6"/>
    <w:p w14:paraId="1478FFBF" w14:textId="6473F25A" w:rsidR="007752A6" w:rsidRDefault="007752A6" w:rsidP="007752A6">
      <w:r>
        <w:t>One or more of our investment adviser representatives are licensed as insurance agents.</w:t>
      </w:r>
      <w:r w:rsidR="00295D51">
        <w:t xml:space="preserve"> However, our advisers are not permitted to engage in the sale of insurance or investment products.  Our advisers are compensated only for advice.</w:t>
      </w:r>
      <w:r w:rsidRPr="00C3328A">
        <w:t xml:space="preserve"> </w:t>
      </w:r>
    </w:p>
    <w:p w14:paraId="560E4681" w14:textId="77777777" w:rsidR="00935968" w:rsidRDefault="00935968" w:rsidP="00935968">
      <w:pPr>
        <w:widowControl w:val="0"/>
        <w:overflowPunct w:val="0"/>
        <w:autoSpaceDE w:val="0"/>
        <w:autoSpaceDN w:val="0"/>
        <w:adjustRightInd w:val="0"/>
        <w:spacing w:line="246" w:lineRule="auto"/>
        <w:ind w:right="60"/>
        <w:rPr>
          <w:rFonts w:cs="Arial"/>
          <w:szCs w:val="24"/>
        </w:rPr>
      </w:pPr>
    </w:p>
    <w:p w14:paraId="563AB22A" w14:textId="788D0BE5" w:rsidR="00935968" w:rsidRDefault="00184969" w:rsidP="00935968">
      <w:pPr>
        <w:widowControl w:val="0"/>
        <w:overflowPunct w:val="0"/>
        <w:autoSpaceDE w:val="0"/>
        <w:autoSpaceDN w:val="0"/>
        <w:adjustRightInd w:val="0"/>
        <w:spacing w:line="246" w:lineRule="auto"/>
        <w:ind w:right="60"/>
        <w:rPr>
          <w:rFonts w:cs="Arial"/>
          <w:szCs w:val="24"/>
        </w:rPr>
      </w:pPr>
      <w:r w:rsidRPr="00403ADD">
        <w:rPr>
          <w:rFonts w:cs="Arial"/>
          <w:szCs w:val="24"/>
        </w:rPr>
        <w:t xml:space="preserve">FPH may recommend other investment advisers for its clients. However, FPH would </w:t>
      </w:r>
      <w:r w:rsidR="005A56AF" w:rsidRPr="00403ADD">
        <w:rPr>
          <w:rFonts w:cs="Arial"/>
          <w:szCs w:val="24"/>
        </w:rPr>
        <w:t xml:space="preserve">not </w:t>
      </w:r>
      <w:r w:rsidRPr="00403ADD">
        <w:rPr>
          <w:rFonts w:cs="Arial"/>
          <w:szCs w:val="24"/>
        </w:rPr>
        <w:t>be affiliated with such advisers</w:t>
      </w:r>
      <w:r w:rsidR="005A56AF" w:rsidRPr="00403ADD">
        <w:rPr>
          <w:rFonts w:cs="Arial"/>
          <w:szCs w:val="24"/>
        </w:rPr>
        <w:t>,</w:t>
      </w:r>
      <w:r w:rsidRPr="00403ADD">
        <w:rPr>
          <w:rFonts w:cs="Arial"/>
          <w:szCs w:val="24"/>
        </w:rPr>
        <w:t xml:space="preserve"> nor would it receive compensation directly or indirectly from those advisers </w:t>
      </w:r>
      <w:proofErr w:type="gramStart"/>
      <w:r w:rsidRPr="00403ADD">
        <w:rPr>
          <w:rFonts w:cs="Arial"/>
          <w:szCs w:val="24"/>
        </w:rPr>
        <w:t>as a result of</w:t>
      </w:r>
      <w:proofErr w:type="gramEnd"/>
      <w:r w:rsidRPr="00403ADD">
        <w:rPr>
          <w:rFonts w:cs="Arial"/>
          <w:szCs w:val="24"/>
        </w:rPr>
        <w:t xml:space="preserve"> such a recommendation by FPH.</w:t>
      </w:r>
      <w:bookmarkStart w:id="18" w:name="_Hlk164937730"/>
    </w:p>
    <w:bookmarkEnd w:id="18"/>
    <w:p w14:paraId="3180A527" w14:textId="77777777" w:rsidR="004C1B52" w:rsidRPr="00403ADD" w:rsidRDefault="004C1B52" w:rsidP="00271033">
      <w:pPr>
        <w:widowControl w:val="0"/>
        <w:overflowPunct w:val="0"/>
        <w:autoSpaceDE w:val="0"/>
        <w:autoSpaceDN w:val="0"/>
        <w:adjustRightInd w:val="0"/>
        <w:spacing w:line="258" w:lineRule="auto"/>
        <w:ind w:right="260"/>
        <w:jc w:val="both"/>
        <w:rPr>
          <w:rFonts w:cs="Arial"/>
          <w:szCs w:val="24"/>
        </w:rPr>
      </w:pPr>
    </w:p>
    <w:p w14:paraId="7C8F01C1" w14:textId="77777777" w:rsidR="00683372" w:rsidRDefault="00683372" w:rsidP="00157440">
      <w:pPr>
        <w:widowControl w:val="0"/>
        <w:overflowPunct w:val="0"/>
        <w:autoSpaceDE w:val="0"/>
        <w:autoSpaceDN w:val="0"/>
        <w:adjustRightInd w:val="0"/>
        <w:spacing w:line="258" w:lineRule="auto"/>
        <w:ind w:right="260"/>
        <w:rPr>
          <w:rFonts w:cs="Arial"/>
          <w:szCs w:val="24"/>
        </w:rPr>
      </w:pPr>
    </w:p>
    <w:p w14:paraId="5223F161" w14:textId="77777777" w:rsidR="00683372" w:rsidRPr="00403ADD" w:rsidRDefault="00683372" w:rsidP="00157440">
      <w:pPr>
        <w:widowControl w:val="0"/>
        <w:overflowPunct w:val="0"/>
        <w:autoSpaceDE w:val="0"/>
        <w:autoSpaceDN w:val="0"/>
        <w:adjustRightInd w:val="0"/>
        <w:spacing w:line="258" w:lineRule="auto"/>
        <w:ind w:right="260"/>
        <w:rPr>
          <w:rFonts w:cs="Arial"/>
          <w:szCs w:val="24"/>
        </w:rPr>
      </w:pPr>
    </w:p>
    <w:p w14:paraId="69A83F84" w14:textId="77777777" w:rsidR="001E7137" w:rsidRDefault="001E7137" w:rsidP="00271033">
      <w:pPr>
        <w:widowControl w:val="0"/>
        <w:overflowPunct w:val="0"/>
        <w:autoSpaceDE w:val="0"/>
        <w:autoSpaceDN w:val="0"/>
        <w:adjustRightInd w:val="0"/>
        <w:spacing w:line="258" w:lineRule="auto"/>
        <w:ind w:right="260"/>
        <w:jc w:val="both"/>
        <w:rPr>
          <w:rFonts w:ascii="Arial" w:hAnsi="Arial" w:cs="Arial"/>
          <w:sz w:val="20"/>
          <w:szCs w:val="20"/>
        </w:rPr>
      </w:pPr>
    </w:p>
    <w:p w14:paraId="435957A9" w14:textId="4C58AC09" w:rsidR="001B6454" w:rsidRDefault="005A23CE" w:rsidP="005A23CE">
      <w:pPr>
        <w:pStyle w:val="Heading1"/>
      </w:pPr>
      <w:bookmarkStart w:id="19" w:name="_Toc208132673"/>
      <w:r>
        <w:lastRenderedPageBreak/>
        <w:t xml:space="preserve">Item 11 - </w:t>
      </w:r>
      <w:r w:rsidR="00184969" w:rsidRPr="00BA69CA">
        <w:t>Code of Ethics, Participation</w:t>
      </w:r>
      <w:r w:rsidR="00965017">
        <w:t xml:space="preserve"> or </w:t>
      </w:r>
      <w:r w:rsidR="00184969" w:rsidRPr="00BA69CA">
        <w:t>Interest in Client Transactions and Personal Trading</w:t>
      </w:r>
      <w:bookmarkEnd w:id="19"/>
    </w:p>
    <w:p w14:paraId="5584C277" w14:textId="439196E9" w:rsidR="001B6454" w:rsidRPr="00450996" w:rsidRDefault="00AC2CB6" w:rsidP="00450996">
      <w:r>
        <w:t>______________________________________________________________________________</w:t>
      </w:r>
    </w:p>
    <w:p w14:paraId="16BB878D" w14:textId="77777777" w:rsidR="00403ADD" w:rsidRDefault="00403ADD" w:rsidP="00403ADD">
      <w:pPr>
        <w:rPr>
          <w:u w:val="single"/>
        </w:rPr>
      </w:pPr>
    </w:p>
    <w:p w14:paraId="6125216D" w14:textId="79D2600B" w:rsidR="001B6454" w:rsidRPr="00403ADD" w:rsidRDefault="00184969" w:rsidP="00403ADD">
      <w:pPr>
        <w:rPr>
          <w:rFonts w:ascii="Times New Roman" w:hAnsi="Times New Roman"/>
          <w:szCs w:val="24"/>
          <w:u w:val="single"/>
        </w:rPr>
      </w:pPr>
      <w:r w:rsidRPr="00403ADD">
        <w:rPr>
          <w:u w:val="single"/>
        </w:rPr>
        <w:t>Code of Ethics</w:t>
      </w:r>
    </w:p>
    <w:p w14:paraId="68803666" w14:textId="77777777" w:rsidR="001B6454" w:rsidRPr="00BA69CA" w:rsidRDefault="001B6454">
      <w:pPr>
        <w:widowControl w:val="0"/>
        <w:autoSpaceDE w:val="0"/>
        <w:autoSpaceDN w:val="0"/>
        <w:adjustRightInd w:val="0"/>
        <w:spacing w:line="230" w:lineRule="exact"/>
        <w:rPr>
          <w:rFonts w:ascii="Times New Roman" w:hAnsi="Times New Roman"/>
          <w:szCs w:val="24"/>
        </w:rPr>
      </w:pPr>
    </w:p>
    <w:p w14:paraId="19B3E529" w14:textId="31A2C625" w:rsidR="001B6454" w:rsidRDefault="00184969" w:rsidP="00403ADD">
      <w:r w:rsidRPr="00BA69CA">
        <w:t xml:space="preserve">FPH has adopted </w:t>
      </w:r>
      <w:r w:rsidR="004661D1">
        <w:t xml:space="preserve">a Code of Ethics pursuant to </w:t>
      </w:r>
      <w:r w:rsidRPr="00BA69CA">
        <w:t xml:space="preserve">rule 204A-1 </w:t>
      </w:r>
      <w:r w:rsidR="001D0D37">
        <w:t>of the Investment Advisers Act of 1940.</w:t>
      </w:r>
      <w:r w:rsidR="00B47FA6">
        <w:t xml:space="preserve"> In accordance with rule 204A-1, our Code of Ethics</w:t>
      </w:r>
      <w:r w:rsidR="004D7A76">
        <w:t xml:space="preserve"> contains:</w:t>
      </w:r>
    </w:p>
    <w:p w14:paraId="0966D25A" w14:textId="77777777" w:rsidR="004D7A76" w:rsidRDefault="004D7A76" w:rsidP="00403ADD"/>
    <w:p w14:paraId="3BC302A1" w14:textId="0843FB94" w:rsidR="004D7A76" w:rsidRPr="004D7A76" w:rsidRDefault="004D7A76" w:rsidP="00725A30">
      <w:pPr>
        <w:pStyle w:val="ListParagraph"/>
        <w:numPr>
          <w:ilvl w:val="0"/>
          <w:numId w:val="19"/>
        </w:numPr>
      </w:pPr>
      <w:r>
        <w:t xml:space="preserve">Standards </w:t>
      </w:r>
      <w:r w:rsidRPr="004D7A76">
        <w:t>of business conduct require</w:t>
      </w:r>
      <w:r w:rsidR="00743D2A">
        <w:t>d</w:t>
      </w:r>
      <w:r w:rsidRPr="004D7A76">
        <w:t xml:space="preserve"> of our </w:t>
      </w:r>
      <w:r w:rsidR="002D5F74">
        <w:t>Supervised Person</w:t>
      </w:r>
      <w:r w:rsidR="00743D2A">
        <w:t xml:space="preserve">s reflecting our fiduciary </w:t>
      </w:r>
      <w:proofErr w:type="gramStart"/>
      <w:r w:rsidR="00743D2A">
        <w:t>duty;</w:t>
      </w:r>
      <w:proofErr w:type="gramEnd"/>
    </w:p>
    <w:p w14:paraId="4348BAB2" w14:textId="15B49943" w:rsidR="004D7A76" w:rsidRPr="004D7A76" w:rsidRDefault="004D7A76" w:rsidP="00725A30">
      <w:pPr>
        <w:pStyle w:val="ListParagraph"/>
        <w:numPr>
          <w:ilvl w:val="0"/>
          <w:numId w:val="19"/>
        </w:numPr>
      </w:pPr>
      <w:r w:rsidRPr="004D7A76">
        <w:t xml:space="preserve">Provisions requiring our </w:t>
      </w:r>
      <w:r w:rsidR="002D5F74">
        <w:t>Supervised Person</w:t>
      </w:r>
      <w:r w:rsidRPr="004D7A76">
        <w:t xml:space="preserve">s to comply with applicable Federal securities </w:t>
      </w:r>
      <w:proofErr w:type="gramStart"/>
      <w:r w:rsidRPr="004D7A76">
        <w:t>laws;</w:t>
      </w:r>
      <w:proofErr w:type="gramEnd"/>
    </w:p>
    <w:p w14:paraId="582F2132" w14:textId="6ED0F124" w:rsidR="004D7A76" w:rsidRPr="004D7A76" w:rsidRDefault="004D7A76" w:rsidP="00725A30">
      <w:pPr>
        <w:pStyle w:val="ListParagraph"/>
        <w:numPr>
          <w:ilvl w:val="0"/>
          <w:numId w:val="19"/>
        </w:numPr>
      </w:pPr>
      <w:r w:rsidRPr="004D7A76">
        <w:t xml:space="preserve">Provisions that require </w:t>
      </w:r>
      <w:proofErr w:type="gramStart"/>
      <w:r w:rsidRPr="004D7A76">
        <w:t>all of</w:t>
      </w:r>
      <w:proofErr w:type="gramEnd"/>
      <w:r w:rsidRPr="004D7A76">
        <w:t xml:space="preserve"> our </w:t>
      </w:r>
      <w:r w:rsidR="002D5F74">
        <w:t>Access Person</w:t>
      </w:r>
      <w:r w:rsidRPr="004D7A76">
        <w:t xml:space="preserve">s to report, and </w:t>
      </w:r>
      <w:r w:rsidR="00725A30">
        <w:t xml:space="preserve">us </w:t>
      </w:r>
      <w:r w:rsidRPr="004D7A76">
        <w:t xml:space="preserve">to review, their personal securities transactions and holdings periodically as provided </w:t>
      </w:r>
      <w:proofErr w:type="gramStart"/>
      <w:r w:rsidRPr="004D7A76">
        <w:t>below;</w:t>
      </w:r>
      <w:proofErr w:type="gramEnd"/>
    </w:p>
    <w:p w14:paraId="23194F89" w14:textId="2B74C761" w:rsidR="004D7A76" w:rsidRPr="004D7A76" w:rsidRDefault="004D7A76" w:rsidP="00725A30">
      <w:pPr>
        <w:pStyle w:val="ListParagraph"/>
        <w:numPr>
          <w:ilvl w:val="0"/>
          <w:numId w:val="19"/>
        </w:numPr>
      </w:pPr>
      <w:r w:rsidRPr="004D7A76">
        <w:t xml:space="preserve">Provisions requiring </w:t>
      </w:r>
      <w:r w:rsidR="002D5F74">
        <w:t>Supervised Person</w:t>
      </w:r>
      <w:r w:rsidRPr="004D7A76">
        <w:t xml:space="preserve">s to report any violations of our </w:t>
      </w:r>
      <w:r w:rsidR="00E37724">
        <w:t>Code of Ethics</w:t>
      </w:r>
      <w:r w:rsidRPr="004D7A76">
        <w:t xml:space="preserve"> promptly to our </w:t>
      </w:r>
      <w:r w:rsidR="00E37724">
        <w:t>C</w:t>
      </w:r>
      <w:r w:rsidRPr="004D7A76">
        <w:t xml:space="preserve">hief </w:t>
      </w:r>
      <w:r w:rsidR="00E37724">
        <w:t>C</w:t>
      </w:r>
      <w:r w:rsidRPr="004D7A76">
        <w:t xml:space="preserve">ompliance </w:t>
      </w:r>
      <w:r w:rsidR="00E37724">
        <w:t>O</w:t>
      </w:r>
      <w:r w:rsidRPr="004D7A76">
        <w:t>fficer or</w:t>
      </w:r>
      <w:r w:rsidR="00EB1449">
        <w:t xml:space="preserve"> other designated </w:t>
      </w:r>
      <w:proofErr w:type="gramStart"/>
      <w:r w:rsidR="00EB1449">
        <w:t>persons</w:t>
      </w:r>
      <w:proofErr w:type="gramEnd"/>
      <w:r w:rsidRPr="004D7A76">
        <w:t>; and</w:t>
      </w:r>
    </w:p>
    <w:p w14:paraId="1D0D027A" w14:textId="357F221C" w:rsidR="004D7A76" w:rsidRPr="004D7A76" w:rsidRDefault="004D7A76" w:rsidP="00725A30">
      <w:pPr>
        <w:pStyle w:val="ListParagraph"/>
        <w:numPr>
          <w:ilvl w:val="0"/>
          <w:numId w:val="19"/>
        </w:numPr>
      </w:pPr>
      <w:r w:rsidRPr="004D7A76">
        <w:t xml:space="preserve">Provisions </w:t>
      </w:r>
      <w:proofErr w:type="gramStart"/>
      <w:r w:rsidRPr="004D7A76">
        <w:t>requiring</w:t>
      </w:r>
      <w:proofErr w:type="gramEnd"/>
      <w:r w:rsidRPr="004D7A76">
        <w:t xml:space="preserve"> </w:t>
      </w:r>
      <w:r w:rsidR="00725A30">
        <w:t>us</w:t>
      </w:r>
      <w:r w:rsidRPr="004D7A76">
        <w:t xml:space="preserve"> to provide each of our </w:t>
      </w:r>
      <w:r w:rsidR="002D5F74">
        <w:t>Supervised Person</w:t>
      </w:r>
      <w:r w:rsidRPr="004D7A76">
        <w:t xml:space="preserve">s with a copy of our </w:t>
      </w:r>
      <w:r w:rsidR="00E37724">
        <w:t>Code of Ethics</w:t>
      </w:r>
      <w:r w:rsidRPr="004D7A76">
        <w:t xml:space="preserve"> and any </w:t>
      </w:r>
      <w:r w:rsidR="000775A3" w:rsidRPr="004D7A76">
        <w:t>amendments and</w:t>
      </w:r>
      <w:r w:rsidRPr="004D7A76">
        <w:t xml:space="preserve"> requiring our </w:t>
      </w:r>
      <w:r w:rsidR="002D5F74">
        <w:t>Supervised Person</w:t>
      </w:r>
      <w:r w:rsidRPr="004D7A76">
        <w:t xml:space="preserve">s to provide </w:t>
      </w:r>
      <w:r w:rsidR="00E37724">
        <w:t>us</w:t>
      </w:r>
      <w:r w:rsidRPr="004D7A76">
        <w:t xml:space="preserve"> with a written acknowledgment of their receipt of the code and any amendments.</w:t>
      </w:r>
    </w:p>
    <w:p w14:paraId="4EC983AD" w14:textId="77777777" w:rsidR="004D7A76" w:rsidRDefault="004D7A76" w:rsidP="00403ADD"/>
    <w:p w14:paraId="2B93EC48" w14:textId="7FB06CFC" w:rsidR="001B6454" w:rsidRPr="00450996" w:rsidRDefault="00184969" w:rsidP="00450996">
      <w:pPr>
        <w:rPr>
          <w:rFonts w:ascii="Times New Roman" w:hAnsi="Times New Roman"/>
          <w:szCs w:val="24"/>
          <w:u w:val="single"/>
        </w:rPr>
      </w:pPr>
      <w:r w:rsidRPr="00450996">
        <w:rPr>
          <w:u w:val="single"/>
        </w:rPr>
        <w:t>Participation</w:t>
      </w:r>
      <w:r w:rsidR="00403ADD">
        <w:rPr>
          <w:u w:val="single"/>
        </w:rPr>
        <w:t xml:space="preserve"> or </w:t>
      </w:r>
      <w:r w:rsidRPr="00450996">
        <w:rPr>
          <w:u w:val="single"/>
        </w:rPr>
        <w:t>Interest in Client Transactions</w:t>
      </w:r>
    </w:p>
    <w:p w14:paraId="64DC3E33" w14:textId="77777777" w:rsidR="001B6454" w:rsidRPr="00BA69CA" w:rsidRDefault="001B6454">
      <w:pPr>
        <w:widowControl w:val="0"/>
        <w:autoSpaceDE w:val="0"/>
        <w:autoSpaceDN w:val="0"/>
        <w:adjustRightInd w:val="0"/>
        <w:spacing w:line="233" w:lineRule="exact"/>
        <w:rPr>
          <w:rFonts w:ascii="Times New Roman" w:hAnsi="Times New Roman"/>
          <w:szCs w:val="24"/>
        </w:rPr>
      </w:pPr>
    </w:p>
    <w:p w14:paraId="0DEFA267" w14:textId="3478FAB9" w:rsidR="001B6454" w:rsidRPr="00DB1446" w:rsidRDefault="00184969" w:rsidP="00450996">
      <w:pPr>
        <w:rPr>
          <w:rFonts w:ascii="Times New Roman" w:hAnsi="Times New Roman"/>
          <w:szCs w:val="24"/>
        </w:rPr>
      </w:pPr>
      <w:r w:rsidRPr="00DB1446">
        <w:t>Neither FPH nor any of its related persons recommend to clients, or buys or sells for client accounts, securities in which FPH or a related person has a material financial interest including but not limited to incidents where FPH or a related person, as principal, buys securities from (or sells securities to) FPH clients; FPH or a related person acts as general partner in a partnership in which FPH solicit client investments; or FPH or a related person acts as an investment adviser to an investment company that FPH recommends to client.</w:t>
      </w:r>
    </w:p>
    <w:p w14:paraId="3D360849" w14:textId="77777777" w:rsidR="001B6454" w:rsidRPr="00DB1446" w:rsidRDefault="001B6454" w:rsidP="00450996">
      <w:pPr>
        <w:rPr>
          <w:rFonts w:ascii="Times New Roman" w:hAnsi="Times New Roman"/>
          <w:szCs w:val="24"/>
        </w:rPr>
      </w:pPr>
    </w:p>
    <w:p w14:paraId="0127E3D3" w14:textId="4F696809" w:rsidR="00403ADD" w:rsidRPr="00403ADD" w:rsidRDefault="00403ADD" w:rsidP="00450996">
      <w:pPr>
        <w:rPr>
          <w:u w:val="single"/>
        </w:rPr>
      </w:pPr>
      <w:r w:rsidRPr="00403ADD">
        <w:rPr>
          <w:u w:val="single"/>
        </w:rPr>
        <w:t>Personal Trading</w:t>
      </w:r>
    </w:p>
    <w:p w14:paraId="513BD17A" w14:textId="77777777" w:rsidR="00403ADD" w:rsidRDefault="00403ADD" w:rsidP="00450996"/>
    <w:p w14:paraId="64BE8634" w14:textId="77777777" w:rsidR="00157440" w:rsidRDefault="00BC3E9F">
      <w:pPr>
        <w:widowControl w:val="0"/>
        <w:overflowPunct w:val="0"/>
        <w:autoSpaceDE w:val="0"/>
        <w:autoSpaceDN w:val="0"/>
        <w:adjustRightInd w:val="0"/>
        <w:spacing w:line="245" w:lineRule="auto"/>
        <w:ind w:right="60"/>
      </w:pPr>
      <w:r w:rsidRPr="00BC3E9F">
        <w:t xml:space="preserve">Our Code of Ethics is designed to assure that the personal securities transactions, activities, and interests of our employees will not interfere with making decisions in the best interest of advisory clients and implementing such decisions while, at the same time, allowing employees to invest in their own accounts. Our firm and/or individuals associated with our firm may buy or sell securities for their personal accounts identical to or different from those recommended to our clients. A copy of our Code of Ethics is available to our advisory clients and prospective clients upon request. </w:t>
      </w:r>
    </w:p>
    <w:p w14:paraId="4176BFB9" w14:textId="77777777" w:rsidR="00157440" w:rsidRDefault="00157440">
      <w:pPr>
        <w:widowControl w:val="0"/>
        <w:overflowPunct w:val="0"/>
        <w:autoSpaceDE w:val="0"/>
        <w:autoSpaceDN w:val="0"/>
        <w:adjustRightInd w:val="0"/>
        <w:spacing w:line="245" w:lineRule="auto"/>
        <w:ind w:right="60"/>
      </w:pPr>
    </w:p>
    <w:p w14:paraId="0FF70661" w14:textId="77777777" w:rsidR="00157440" w:rsidRDefault="00BC3E9F">
      <w:pPr>
        <w:widowControl w:val="0"/>
        <w:overflowPunct w:val="0"/>
        <w:autoSpaceDE w:val="0"/>
        <w:autoSpaceDN w:val="0"/>
        <w:adjustRightInd w:val="0"/>
        <w:spacing w:line="245" w:lineRule="auto"/>
        <w:ind w:right="60"/>
      </w:pPr>
      <w:r w:rsidRPr="00BC3E9F">
        <w:t xml:space="preserve">Additionally, because we may provide you with investment advice pertaining to employee benefit plans, such as 401Ks, and individual retirement plans (IRAs), we must acknowledge our fiduciary status in writing under Title I of ERISA and the Internal Revenue Code, as applicable, when providing that advice. The following represents our written acknowledgement of fiduciary status: When we provide investment advice to you regarding your retirement plan account or individual retirement account, we are fiduciaries within the meaning of Title I of the Employee </w:t>
      </w:r>
      <w:proofErr w:type="gramStart"/>
      <w:r w:rsidRPr="00BC3E9F">
        <w:t>Retirement Income</w:t>
      </w:r>
      <w:proofErr w:type="gramEnd"/>
      <w:r w:rsidRPr="00BC3E9F">
        <w:t xml:space="preserve"> Security Act and/or the Internal Revenue Code, as applicable, which are laws governing retirement accounts. The way we make money creates some conflicts with your interests, so we </w:t>
      </w:r>
      <w:r w:rsidRPr="00BC3E9F">
        <w:lastRenderedPageBreak/>
        <w:t xml:space="preserve">operate under a special rule that requires us to act in your best interest and not put our interest ahead of yours. </w:t>
      </w:r>
    </w:p>
    <w:p w14:paraId="64AF599C" w14:textId="77777777" w:rsidR="00157440" w:rsidRDefault="00157440">
      <w:pPr>
        <w:widowControl w:val="0"/>
        <w:overflowPunct w:val="0"/>
        <w:autoSpaceDE w:val="0"/>
        <w:autoSpaceDN w:val="0"/>
        <w:adjustRightInd w:val="0"/>
        <w:spacing w:line="245" w:lineRule="auto"/>
        <w:ind w:right="60"/>
      </w:pPr>
    </w:p>
    <w:p w14:paraId="4701FB5F" w14:textId="77777777" w:rsidR="00965017" w:rsidRDefault="00BC3E9F">
      <w:pPr>
        <w:widowControl w:val="0"/>
        <w:overflowPunct w:val="0"/>
        <w:autoSpaceDE w:val="0"/>
        <w:autoSpaceDN w:val="0"/>
        <w:adjustRightInd w:val="0"/>
        <w:spacing w:line="245" w:lineRule="auto"/>
        <w:ind w:right="60"/>
      </w:pPr>
      <w:r w:rsidRPr="00BC3E9F">
        <w:t xml:space="preserve">Under this special rule’s provisions, we must: </w:t>
      </w:r>
    </w:p>
    <w:p w14:paraId="2DC848D5" w14:textId="77777777" w:rsidR="00965017" w:rsidRDefault="00965017">
      <w:pPr>
        <w:widowControl w:val="0"/>
        <w:overflowPunct w:val="0"/>
        <w:autoSpaceDE w:val="0"/>
        <w:autoSpaceDN w:val="0"/>
        <w:adjustRightInd w:val="0"/>
        <w:spacing w:line="245" w:lineRule="auto"/>
        <w:ind w:right="60"/>
      </w:pPr>
    </w:p>
    <w:p w14:paraId="739F9B83" w14:textId="22A5A096" w:rsidR="00965017" w:rsidRDefault="00BC3E9F" w:rsidP="00965017">
      <w:pPr>
        <w:pStyle w:val="ListParagraph"/>
        <w:widowControl w:val="0"/>
        <w:numPr>
          <w:ilvl w:val="0"/>
          <w:numId w:val="20"/>
        </w:numPr>
        <w:overflowPunct w:val="0"/>
        <w:autoSpaceDE w:val="0"/>
        <w:autoSpaceDN w:val="0"/>
        <w:adjustRightInd w:val="0"/>
        <w:spacing w:line="245" w:lineRule="auto"/>
        <w:ind w:right="60"/>
      </w:pPr>
      <w:r w:rsidRPr="00BC3E9F">
        <w:t>Meet a professional standard of care when making investment recommendations (give prudent advice</w:t>
      </w:r>
      <w:proofErr w:type="gramStart"/>
      <w:r w:rsidRPr="00BC3E9F">
        <w:t>);</w:t>
      </w:r>
      <w:proofErr w:type="gramEnd"/>
    </w:p>
    <w:p w14:paraId="0E94C58D" w14:textId="089C219C" w:rsidR="00965017" w:rsidRDefault="00BC3E9F" w:rsidP="00965017">
      <w:pPr>
        <w:pStyle w:val="ListParagraph"/>
        <w:widowControl w:val="0"/>
        <w:numPr>
          <w:ilvl w:val="0"/>
          <w:numId w:val="20"/>
        </w:numPr>
        <w:overflowPunct w:val="0"/>
        <w:autoSpaceDE w:val="0"/>
        <w:autoSpaceDN w:val="0"/>
        <w:adjustRightInd w:val="0"/>
        <w:spacing w:line="245" w:lineRule="auto"/>
        <w:ind w:right="60"/>
      </w:pPr>
      <w:r w:rsidRPr="00BC3E9F">
        <w:t xml:space="preserve">Never put our financial interests ahead of yours when making recommendations (give loyal advice); Avoid misleading statements about conflicts of interest, fees, and </w:t>
      </w:r>
      <w:proofErr w:type="gramStart"/>
      <w:r w:rsidRPr="00BC3E9F">
        <w:t>investments;</w:t>
      </w:r>
      <w:proofErr w:type="gramEnd"/>
      <w:r w:rsidRPr="00BC3E9F">
        <w:t xml:space="preserve"> </w:t>
      </w:r>
    </w:p>
    <w:p w14:paraId="1ACF09FE" w14:textId="168BB499" w:rsidR="00965017" w:rsidRDefault="00BC3E9F" w:rsidP="00965017">
      <w:pPr>
        <w:pStyle w:val="ListParagraph"/>
        <w:widowControl w:val="0"/>
        <w:numPr>
          <w:ilvl w:val="0"/>
          <w:numId w:val="20"/>
        </w:numPr>
        <w:overflowPunct w:val="0"/>
        <w:autoSpaceDE w:val="0"/>
        <w:autoSpaceDN w:val="0"/>
        <w:adjustRightInd w:val="0"/>
        <w:spacing w:line="245" w:lineRule="auto"/>
        <w:ind w:right="60"/>
      </w:pPr>
      <w:r w:rsidRPr="00BC3E9F">
        <w:t xml:space="preserve">Follow policies and procedures designed to ensure that we give advice that is in your best interest; Charge no more than is reasonable for our services; and </w:t>
      </w:r>
    </w:p>
    <w:p w14:paraId="18FAA83A" w14:textId="780D30FE" w:rsidR="00887418" w:rsidRPr="00965017" w:rsidRDefault="00BC3E9F" w:rsidP="00965017">
      <w:pPr>
        <w:pStyle w:val="ListParagraph"/>
        <w:widowControl w:val="0"/>
        <w:numPr>
          <w:ilvl w:val="0"/>
          <w:numId w:val="20"/>
        </w:numPr>
        <w:overflowPunct w:val="0"/>
        <w:autoSpaceDE w:val="0"/>
        <w:autoSpaceDN w:val="0"/>
        <w:adjustRightInd w:val="0"/>
        <w:spacing w:line="245" w:lineRule="auto"/>
        <w:ind w:right="60"/>
        <w:rPr>
          <w:rFonts w:ascii="Times New Roman" w:hAnsi="Times New Roman"/>
          <w:szCs w:val="24"/>
        </w:rPr>
      </w:pPr>
      <w:r w:rsidRPr="00BC3E9F">
        <w:t>Give you basic information about conflicts of interest.</w:t>
      </w:r>
    </w:p>
    <w:p w14:paraId="341B74D8" w14:textId="77777777" w:rsidR="001B6454" w:rsidRPr="00BA69CA" w:rsidRDefault="001B6454">
      <w:pPr>
        <w:widowControl w:val="0"/>
        <w:autoSpaceDE w:val="0"/>
        <w:autoSpaceDN w:val="0"/>
        <w:adjustRightInd w:val="0"/>
        <w:spacing w:line="233" w:lineRule="exact"/>
        <w:rPr>
          <w:rFonts w:ascii="Times New Roman" w:hAnsi="Times New Roman"/>
          <w:szCs w:val="24"/>
        </w:rPr>
      </w:pPr>
    </w:p>
    <w:p w14:paraId="1C5E5DE3" w14:textId="077F42CC" w:rsidR="001B6454" w:rsidRPr="00BA69CA" w:rsidRDefault="00E77603" w:rsidP="00E77603">
      <w:pPr>
        <w:pStyle w:val="Heading1"/>
        <w:rPr>
          <w:rFonts w:ascii="Times New Roman" w:hAnsi="Times New Roman"/>
        </w:rPr>
      </w:pPr>
      <w:bookmarkStart w:id="20" w:name="_Toc208132674"/>
      <w:r>
        <w:t xml:space="preserve">Item 12 - </w:t>
      </w:r>
      <w:r w:rsidR="00184969" w:rsidRPr="00BA69CA">
        <w:t>Brokerage Practices</w:t>
      </w:r>
      <w:bookmarkEnd w:id="20"/>
    </w:p>
    <w:p w14:paraId="6B447D28" w14:textId="77777777" w:rsidR="001B6454" w:rsidRPr="00BA69CA" w:rsidRDefault="00F03077">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57216" behindDoc="1" locked="0" layoutInCell="0" allowOverlap="1" wp14:anchorId="4395E9AC" wp14:editId="69323955">
                <wp:simplePos x="0" y="0"/>
                <wp:positionH relativeFrom="column">
                  <wp:posOffset>-19050</wp:posOffset>
                </wp:positionH>
                <wp:positionV relativeFrom="paragraph">
                  <wp:posOffset>27940</wp:posOffset>
                </wp:positionV>
                <wp:extent cx="5981700" cy="0"/>
                <wp:effectExtent l="0" t="0" r="0" b="0"/>
                <wp:wrapNone/>
                <wp:docPr id="15"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F9B5AE" id="Line 1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SasAEAAEgDAAAOAAAAZHJzL2Uyb0RvYy54bWysU8Fu2zAMvQ/YPwi6L3YKtGuNOD2k6y7d&#10;FqDdBzCSbAuTRYFUYufvJ6lJWmy3YT4Ikkg+vfdIr+7n0YmDIbboW7lc1FIYr1Bb37fy58vjp1sp&#10;OILX4NCbVh4Ny/v1xw+rKTTmCgd02pBIIJ6bKbRyiDE0VcVqMCPwAoPxKdghjRDTkfpKE0wJfXTV&#10;VV3fVBOSDoTKMKfbh9egXBf8rjMq/ug6NlG4ViZusaxU1l1eq/UKmp4gDFadaMA/sBjB+vToBeoB&#10;Iog92b+gRqsIGbu4UDhW2HVWmaIhqVnWf6h5HiCYoiWZw+FiE/8/WPX9sPFbytTV7J/DE6pfLDxu&#10;BvC9KQRejiE1bpmtqqbAzaUkHzhsSeymb6hTDuwjFhfmjsYMmfSJuZh9vJht5ihUury+u11+rlNP&#10;1DlWQXMuDMTxq8FR5E0rnfXZB2jg8MQxE4HmnJKvPT5a50ovnRdTK2/qu+tSwOiszsGcxtTvNo7E&#10;AfI0lK+oSpH3aYR7rwvYYEB/Oe0jWPe6T487fzIj68/Dxs0O9XFLZ5NSuwrL02jleXh/LtVvP8D6&#10;NwAAAP//AwBQSwMEFAAGAAgAAAAhAIaGZXbZAAAABgEAAA8AAABkcnMvZG93bnJldi54bWxMj8tO&#10;wzAQRfdI/IM1SGxQ64RWQEOcCip1yYICezceYlM/oozThr9nYEOXR3d075l6PQUvjjiQS1FBOS9A&#10;YGyTcbFT8P62nT2AoKyj0T5FVPCNBOvm8qLWlUmn+IrHXe4El0SqtAKbc19JSa3FoGmeeoycfaYh&#10;6Mw4dNIM+sTlwcvboriTQbvIC1b3uLHYHnZjUOC+BiLbls8l+cN2czN6d//yodT11fT0CCLjlP+P&#10;4Vef1aFhp30aoyHhFcwW/EpWsFyC4Hi1WDHv/1g2tTzXb34AAAD//wMAUEsBAi0AFAAGAAgAAAAh&#10;ALaDOJL+AAAA4QEAABMAAAAAAAAAAAAAAAAAAAAAAFtDb250ZW50X1R5cGVzXS54bWxQSwECLQAU&#10;AAYACAAAACEAOP0h/9YAAACUAQAACwAAAAAAAAAAAAAAAAAvAQAAX3JlbHMvLnJlbHNQSwECLQAU&#10;AAYACAAAACEAB6zEmrABAABIAwAADgAAAAAAAAAAAAAAAAAuAgAAZHJzL2Uyb0RvYy54bWxQSwEC&#10;LQAUAAYACAAAACEAhoZldtkAAAAGAQAADwAAAAAAAAAAAAAAAAAKBAAAZHJzL2Rvd25yZXYueG1s&#10;UEsFBgAAAAAEAAQA8wAAABAFAAAAAA==&#10;" o:allowincell="f" strokeweight=".16931mm"/>
            </w:pict>
          </mc:Fallback>
        </mc:AlternateContent>
      </w:r>
    </w:p>
    <w:p w14:paraId="6443AA79" w14:textId="77777777" w:rsidR="002538D0" w:rsidRDefault="002538D0" w:rsidP="002538D0">
      <w:r w:rsidRPr="00471973">
        <w:t>Specific custodian or brokerage recommendations are made to clients based on their need for such services. We recommend custodians based on the proven integrity and financial responsibility of the firm, best execution of orders at reasonable commission rates, industry reputation, and the quality of client service. Among the factors we look at in recommending the use of a broker-dealer/custodian, we seek one who will hold your assets and execute transactions on terms that are generally most advantageous when compared to other available providers. We consider a wide range of factors, including:</w:t>
      </w:r>
    </w:p>
    <w:p w14:paraId="12EFD9F9" w14:textId="77777777" w:rsidR="002538D0" w:rsidRPr="00471973" w:rsidRDefault="002538D0" w:rsidP="002538D0"/>
    <w:p w14:paraId="1689DC28" w14:textId="77777777" w:rsidR="002538D0" w:rsidRPr="00471973" w:rsidRDefault="002538D0" w:rsidP="002538D0">
      <w:pPr>
        <w:numPr>
          <w:ilvl w:val="0"/>
          <w:numId w:val="22"/>
        </w:numPr>
        <w:spacing w:line="276" w:lineRule="auto"/>
      </w:pPr>
      <w:r w:rsidRPr="00471973">
        <w:t xml:space="preserve">Combination of transaction execution services and asset custody </w:t>
      </w:r>
      <w:proofErr w:type="gramStart"/>
      <w:r w:rsidRPr="00471973">
        <w:t>services;</w:t>
      </w:r>
      <w:proofErr w:type="gramEnd"/>
    </w:p>
    <w:p w14:paraId="41CFB4EF" w14:textId="77777777" w:rsidR="002538D0" w:rsidRPr="00471973" w:rsidRDefault="002538D0" w:rsidP="002538D0">
      <w:pPr>
        <w:numPr>
          <w:ilvl w:val="0"/>
          <w:numId w:val="22"/>
        </w:numPr>
        <w:spacing w:line="276" w:lineRule="auto"/>
      </w:pPr>
      <w:r w:rsidRPr="00471973">
        <w:t xml:space="preserve">Capability to execute, clear, and settle securities </w:t>
      </w:r>
      <w:proofErr w:type="gramStart"/>
      <w:r w:rsidRPr="00471973">
        <w:t>transactions;</w:t>
      </w:r>
      <w:proofErr w:type="gramEnd"/>
    </w:p>
    <w:p w14:paraId="585D1CD3" w14:textId="77777777" w:rsidR="002538D0" w:rsidRPr="00471973" w:rsidRDefault="002538D0" w:rsidP="002538D0">
      <w:pPr>
        <w:numPr>
          <w:ilvl w:val="0"/>
          <w:numId w:val="22"/>
        </w:numPr>
        <w:spacing w:line="276" w:lineRule="auto"/>
      </w:pPr>
      <w:r w:rsidRPr="00471973">
        <w:t xml:space="preserve">Breadth of available investment </w:t>
      </w:r>
      <w:proofErr w:type="gramStart"/>
      <w:r w:rsidRPr="00471973">
        <w:t>products;</w:t>
      </w:r>
      <w:proofErr w:type="gramEnd"/>
    </w:p>
    <w:p w14:paraId="0727A8FE" w14:textId="77777777" w:rsidR="002538D0" w:rsidRPr="00471973" w:rsidRDefault="002538D0" w:rsidP="002538D0">
      <w:pPr>
        <w:numPr>
          <w:ilvl w:val="0"/>
          <w:numId w:val="22"/>
        </w:numPr>
        <w:spacing w:line="276" w:lineRule="auto"/>
      </w:pPr>
      <w:r w:rsidRPr="00471973">
        <w:t xml:space="preserve">Competitiveness of the price of the </w:t>
      </w:r>
      <w:proofErr w:type="gramStart"/>
      <w:r w:rsidRPr="00471973">
        <w:t>services;</w:t>
      </w:r>
      <w:proofErr w:type="gramEnd"/>
    </w:p>
    <w:p w14:paraId="178ABFB0" w14:textId="77777777" w:rsidR="002538D0" w:rsidRPr="00471973" w:rsidRDefault="002538D0" w:rsidP="002538D0">
      <w:pPr>
        <w:numPr>
          <w:ilvl w:val="0"/>
          <w:numId w:val="22"/>
        </w:numPr>
        <w:spacing w:line="276" w:lineRule="auto"/>
      </w:pPr>
      <w:r w:rsidRPr="00471973">
        <w:t xml:space="preserve">Reputation, financial strength, and </w:t>
      </w:r>
      <w:proofErr w:type="gramStart"/>
      <w:r w:rsidRPr="00471973">
        <w:t>stability;</w:t>
      </w:r>
      <w:proofErr w:type="gramEnd"/>
    </w:p>
    <w:p w14:paraId="40E88B3E" w14:textId="77777777" w:rsidR="002538D0" w:rsidRPr="00471973" w:rsidRDefault="002538D0" w:rsidP="002538D0">
      <w:pPr>
        <w:numPr>
          <w:ilvl w:val="0"/>
          <w:numId w:val="22"/>
        </w:numPr>
        <w:spacing w:line="276" w:lineRule="auto"/>
      </w:pPr>
      <w:r w:rsidRPr="00471973">
        <w:t>Prior service to us and our other clients.</w:t>
      </w:r>
    </w:p>
    <w:p w14:paraId="3432AE3A" w14:textId="77777777" w:rsidR="002538D0" w:rsidRPr="002B6D88" w:rsidRDefault="002538D0" w:rsidP="002538D0"/>
    <w:p w14:paraId="1752C5B5" w14:textId="4AFF67AB" w:rsidR="002538D0" w:rsidRDefault="002538D0" w:rsidP="002538D0">
      <w:r>
        <w:t>Financial Planning Hawaii</w:t>
      </w:r>
      <w:r w:rsidRPr="002B6D88">
        <w:t xml:space="preserve"> recommends that our clients use </w:t>
      </w:r>
      <w:r w:rsidRPr="0016727C">
        <w:t>Charles Schwab Institutional, a division of Charles Schwab &amp; Co., Inc. (“Charles Schwab”</w:t>
      </w:r>
      <w:r>
        <w:t xml:space="preserve"> or “Schwab”</w:t>
      </w:r>
      <w:r w:rsidRPr="0016727C">
        <w:t>). Charles Schwab is an independent and unaffiliated SEC-registered broker-dealer</w:t>
      </w:r>
      <w:r>
        <w:t xml:space="preserve"> and member of both the Financial Industry Regulatory Authority (FINRA) and the Securities Investor Protection Corporation (SIPC)</w:t>
      </w:r>
      <w:r w:rsidRPr="0016727C">
        <w:t xml:space="preserve">. Charles Schwab is owned by Schwab Holdings, Inc. </w:t>
      </w:r>
    </w:p>
    <w:p w14:paraId="5D77740A" w14:textId="77777777" w:rsidR="002538D0" w:rsidRDefault="002538D0" w:rsidP="002538D0"/>
    <w:p w14:paraId="4AAB81D1" w14:textId="4E614D4B" w:rsidR="002538D0" w:rsidRPr="000F2003" w:rsidRDefault="002538D0" w:rsidP="002538D0">
      <w:r w:rsidRPr="002B6D88">
        <w:t xml:space="preserve">We are independently owned and operated and are not affiliated with </w:t>
      </w:r>
      <w:r>
        <w:t>Charles Schwab</w:t>
      </w:r>
      <w:r w:rsidRPr="002B6D88">
        <w:t xml:space="preserve">. </w:t>
      </w:r>
      <w:r>
        <w:t>Charles Schwab</w:t>
      </w:r>
      <w:r w:rsidRPr="002B6D88">
        <w:t xml:space="preserve"> will hold your assets in a brokerage account and buy and sell securities </w:t>
      </w:r>
      <w:r>
        <w:t>upon our instruction</w:t>
      </w:r>
      <w:r w:rsidRPr="002B6D88">
        <w:t xml:space="preserve">. While we recommend that you use </w:t>
      </w:r>
      <w:r>
        <w:t>Schwab</w:t>
      </w:r>
      <w:r w:rsidRPr="002B6D88">
        <w:t xml:space="preserve"> as custodian/broker, you will decide whether to do so and will open your account with </w:t>
      </w:r>
      <w:r>
        <w:t xml:space="preserve">Schwab </w:t>
      </w:r>
      <w:r w:rsidRPr="002B6D88">
        <w:t xml:space="preserve">by entering into an account agreement directly with them. Even though your account is maintained at </w:t>
      </w:r>
      <w:r>
        <w:t>Schwab</w:t>
      </w:r>
      <w:r w:rsidRPr="002B6D88">
        <w:t>, we can still use other brokers to execute trades for your account.</w:t>
      </w:r>
      <w:r>
        <w:t xml:space="preserve"> </w:t>
      </w:r>
      <w:r w:rsidRPr="000F2003">
        <w:t xml:space="preserve">For discretionary clients, </w:t>
      </w:r>
      <w:r w:rsidR="006C32A0">
        <w:t>we</w:t>
      </w:r>
      <w:r w:rsidRPr="000F2003">
        <w:t xml:space="preserve"> require these clients to provide us with written authority to determine the broker dealer to use for these transactions (See Item 16 Investment Discretion). </w:t>
      </w:r>
    </w:p>
    <w:p w14:paraId="30A01521" w14:textId="77777777" w:rsidR="002538D0" w:rsidRDefault="002538D0" w:rsidP="002538D0"/>
    <w:p w14:paraId="0857638A" w14:textId="0FC0210D" w:rsidR="002538D0" w:rsidRDefault="002538D0" w:rsidP="002538D0">
      <w:r w:rsidRPr="004F1468">
        <w:lastRenderedPageBreak/>
        <w:t xml:space="preserve">Schwab provides </w:t>
      </w:r>
      <w:r>
        <w:t>FPH</w:t>
      </w:r>
      <w:r w:rsidRPr="004F1468">
        <w:t xml:space="preserve"> with access to its institutional trading and custody services, which are typically not available to Schwab retail investors. These services generally are available to independent investment advisors on an unsolicited basis</w:t>
      </w:r>
      <w:r>
        <w:t xml:space="preserve">. </w:t>
      </w:r>
      <w:r w:rsidRPr="004F1468">
        <w:t xml:space="preserve">These services may be contingent upon </w:t>
      </w:r>
      <w:r>
        <w:t>FPH</w:t>
      </w:r>
      <w:r w:rsidRPr="004F1468">
        <w:t xml:space="preserve"> committing to Schwab a specific amount of business (assets in custody or trading commissions). Schwab’s brokerage services include the execution of securities transactions, custody, research, and access to mutual funds and other investments that are otherwise generally available only to institutional investors or would require a significantly higher minimum initial investment. For </w:t>
      </w:r>
      <w:r>
        <w:t>FPH</w:t>
      </w:r>
      <w:r w:rsidRPr="004F1468">
        <w:t xml:space="preserve"> client accounts maintained in its custody, Schwab generally does not charge separately for custody services but is compensated by account holders through commissions and other transaction-related or asset-based fees for securities trades that are executed through Schwab or that settle into Schwab accounts.</w:t>
      </w:r>
    </w:p>
    <w:p w14:paraId="1B9262BA" w14:textId="77777777" w:rsidR="002538D0" w:rsidRPr="004F1468" w:rsidRDefault="002538D0" w:rsidP="002538D0"/>
    <w:p w14:paraId="59E238E2" w14:textId="1A2F1726" w:rsidR="002538D0" w:rsidRDefault="002538D0" w:rsidP="002538D0">
      <w:r w:rsidRPr="004F1468">
        <w:t xml:space="preserve">Schwab Institutional also makes available to </w:t>
      </w:r>
      <w:r>
        <w:t>FPH</w:t>
      </w:r>
      <w:r w:rsidRPr="004F1468">
        <w:t xml:space="preserve"> other products and services that benefit </w:t>
      </w:r>
      <w:r>
        <w:t>FPH</w:t>
      </w:r>
      <w:r w:rsidRPr="004F1468">
        <w:t xml:space="preserve"> but may not directly benefit its clients’ accounts. Many of these products and services may be used to service all or some substantial number of accounts, including accounts not maintained at Schwab. Schwab’s products and services that assist </w:t>
      </w:r>
      <w:r>
        <w:t>FPH</w:t>
      </w:r>
      <w:r w:rsidRPr="004F1468">
        <w:t xml:space="preserve"> in managing and administering clients’ accounts include software and other technology that (</w:t>
      </w:r>
      <w:proofErr w:type="spellStart"/>
      <w:r w:rsidRPr="004F1468">
        <w:t>i</w:t>
      </w:r>
      <w:proofErr w:type="spellEnd"/>
      <w:r w:rsidRPr="004F1468">
        <w:t>) provide access to client account data (such as trade confirmations and account statements); (ii) facilitate trade execution and allocate aggregated trade orders for multiple client accounts; (iii) provide research, pricing and other market data; (iv) facilitate payment of fees from its clients’ accounts; and (v) assist with back-office functions, recordkeeping and client reporting.</w:t>
      </w:r>
    </w:p>
    <w:p w14:paraId="56AD2299" w14:textId="77777777" w:rsidR="002538D0" w:rsidRPr="004F1468" w:rsidRDefault="002538D0" w:rsidP="002538D0"/>
    <w:p w14:paraId="04C6FCE0" w14:textId="467ED5DE" w:rsidR="002538D0" w:rsidRPr="00967BAD" w:rsidRDefault="00967BAD" w:rsidP="002538D0">
      <w:pPr>
        <w:rPr>
          <w:u w:val="single"/>
        </w:rPr>
      </w:pPr>
      <w:r w:rsidRPr="00967BAD">
        <w:rPr>
          <w:u w:val="single"/>
        </w:rPr>
        <w:t>Soft-Dollar Benefits</w:t>
      </w:r>
    </w:p>
    <w:p w14:paraId="0619C456" w14:textId="77777777" w:rsidR="002538D0" w:rsidRDefault="002538D0" w:rsidP="002538D0"/>
    <w:p w14:paraId="5A2B4343" w14:textId="505B59B2" w:rsidR="001B6454" w:rsidRPr="00374031" w:rsidRDefault="002607B5" w:rsidP="00450996">
      <w:pPr>
        <w:rPr>
          <w:rFonts w:ascii="Times New Roman" w:hAnsi="Times New Roman"/>
          <w:szCs w:val="24"/>
        </w:rPr>
      </w:pPr>
      <w:r>
        <w:t xml:space="preserve">Other than the benefits and services described above, </w:t>
      </w:r>
      <w:r w:rsidR="00184969" w:rsidRPr="00374031">
        <w:t>FPH does not receive research (both proprietary or non-proprietary) or other products or services from a broker/dealer or a third party in connection with client securities transactions, including but not limited to (otherwise known as “soft dollar benefits”).</w:t>
      </w:r>
    </w:p>
    <w:p w14:paraId="48C04572" w14:textId="77777777" w:rsidR="001B6454" w:rsidRPr="00BA69CA" w:rsidRDefault="001B6454">
      <w:pPr>
        <w:widowControl w:val="0"/>
        <w:autoSpaceDE w:val="0"/>
        <w:autoSpaceDN w:val="0"/>
        <w:adjustRightInd w:val="0"/>
        <w:spacing w:line="185" w:lineRule="exact"/>
        <w:rPr>
          <w:rFonts w:ascii="Times New Roman" w:hAnsi="Times New Roman"/>
          <w:szCs w:val="24"/>
        </w:rPr>
      </w:pPr>
    </w:p>
    <w:p w14:paraId="1334F3AB" w14:textId="77777777" w:rsidR="001B6454" w:rsidRPr="00450996" w:rsidRDefault="00184969" w:rsidP="00450996">
      <w:pPr>
        <w:rPr>
          <w:rFonts w:ascii="Times New Roman" w:hAnsi="Times New Roman"/>
          <w:szCs w:val="24"/>
          <w:u w:val="single"/>
        </w:rPr>
      </w:pPr>
      <w:r w:rsidRPr="00450996">
        <w:rPr>
          <w:u w:val="single"/>
        </w:rPr>
        <w:t>Brokerage for Client Referrals</w:t>
      </w:r>
    </w:p>
    <w:p w14:paraId="7174A502" w14:textId="77777777" w:rsidR="001B6454" w:rsidRPr="00BA69CA" w:rsidRDefault="001B6454" w:rsidP="00450996">
      <w:pPr>
        <w:rPr>
          <w:rFonts w:ascii="Times New Roman" w:hAnsi="Times New Roman"/>
          <w:szCs w:val="24"/>
        </w:rPr>
      </w:pPr>
    </w:p>
    <w:p w14:paraId="22EB3F48" w14:textId="6F967B80" w:rsidR="001B6454" w:rsidRPr="00BA69CA" w:rsidRDefault="00450996" w:rsidP="00450996">
      <w:pPr>
        <w:rPr>
          <w:rFonts w:ascii="Times New Roman" w:hAnsi="Times New Roman"/>
          <w:szCs w:val="24"/>
        </w:rPr>
      </w:pPr>
      <w:r w:rsidRPr="00BA69CA">
        <w:t>FPH</w:t>
      </w:r>
      <w:r w:rsidR="008F5056" w:rsidRPr="00BA69CA">
        <w:t xml:space="preserve"> </w:t>
      </w:r>
      <w:r w:rsidR="00184969" w:rsidRPr="00BA69CA">
        <w:t>will receive no direct or indirect compensation or benefit from</w:t>
      </w:r>
      <w:r w:rsidR="008F5056" w:rsidRPr="00BA69CA">
        <w:t xml:space="preserve"> any</w:t>
      </w:r>
      <w:r w:rsidR="00184969" w:rsidRPr="00BA69CA">
        <w:t xml:space="preserve"> </w:t>
      </w:r>
      <w:r w:rsidR="008F5056" w:rsidRPr="00BA69CA">
        <w:t xml:space="preserve">of </w:t>
      </w:r>
      <w:r w:rsidR="00184969" w:rsidRPr="00BA69CA">
        <w:t>the suggested firms</w:t>
      </w:r>
      <w:r w:rsidR="00C357F6" w:rsidRPr="00BA69CA">
        <w:t xml:space="preserve">. </w:t>
      </w:r>
      <w:r w:rsidRPr="00BA69CA">
        <w:t>Due diligence</w:t>
      </w:r>
      <w:r w:rsidR="008F5056" w:rsidRPr="00BA69CA">
        <w:t xml:space="preserve"> and selection of </w:t>
      </w:r>
      <w:proofErr w:type="gramStart"/>
      <w:r w:rsidR="008F5056" w:rsidRPr="00BA69CA">
        <w:t>any and all</w:t>
      </w:r>
      <w:proofErr w:type="gramEnd"/>
      <w:r w:rsidR="008F5056" w:rsidRPr="00BA69CA">
        <w:t xml:space="preserve"> financial institutions falls entirely to the Client.</w:t>
      </w:r>
    </w:p>
    <w:p w14:paraId="35E762E1" w14:textId="77777777" w:rsidR="001B6454" w:rsidRPr="00BA69CA" w:rsidRDefault="001B6454" w:rsidP="00450996">
      <w:pPr>
        <w:rPr>
          <w:rFonts w:ascii="Times New Roman" w:hAnsi="Times New Roman"/>
          <w:szCs w:val="24"/>
        </w:rPr>
      </w:pPr>
    </w:p>
    <w:p w14:paraId="08C934A6" w14:textId="77777777" w:rsidR="001B6454" w:rsidRPr="00450996" w:rsidRDefault="00184969" w:rsidP="00450996">
      <w:pPr>
        <w:rPr>
          <w:rFonts w:ascii="Times New Roman" w:hAnsi="Times New Roman"/>
          <w:szCs w:val="24"/>
          <w:u w:val="single"/>
        </w:rPr>
      </w:pPr>
      <w:r w:rsidRPr="00450996">
        <w:rPr>
          <w:u w:val="single"/>
        </w:rPr>
        <w:t>Directed Brokerage</w:t>
      </w:r>
    </w:p>
    <w:p w14:paraId="29F56ECA" w14:textId="77777777" w:rsidR="001B6454" w:rsidRPr="00BA69CA" w:rsidRDefault="001B6454" w:rsidP="00450996">
      <w:pPr>
        <w:rPr>
          <w:rFonts w:ascii="Times New Roman" w:hAnsi="Times New Roman"/>
          <w:szCs w:val="24"/>
        </w:rPr>
      </w:pPr>
    </w:p>
    <w:p w14:paraId="171DEC1B" w14:textId="020745CB" w:rsidR="00E60D20" w:rsidRPr="00BA69CA" w:rsidRDefault="00184969" w:rsidP="00450996">
      <w:r w:rsidRPr="00BA69CA">
        <w:t xml:space="preserve">Regarding directed brokerage arrangements, FPH does not recommend, request </w:t>
      </w:r>
      <w:r w:rsidR="008F5056" w:rsidRPr="00BA69CA">
        <w:t>n</w:t>
      </w:r>
      <w:r w:rsidRPr="00BA69CA">
        <w:t xml:space="preserve">or require </w:t>
      </w:r>
      <w:r w:rsidR="008F5056" w:rsidRPr="00BA69CA">
        <w:t>Clients</w:t>
      </w:r>
      <w:r w:rsidRPr="00BA69CA">
        <w:rPr>
          <w:i/>
          <w:iCs/>
        </w:rPr>
        <w:t xml:space="preserve"> </w:t>
      </w:r>
      <w:r w:rsidR="00784305" w:rsidRPr="00BA69CA">
        <w:t>to direct or</w:t>
      </w:r>
      <w:r w:rsidRPr="00BA69CA">
        <w:t xml:space="preserve"> execute transactions through a</w:t>
      </w:r>
      <w:r w:rsidR="00784305" w:rsidRPr="00BA69CA">
        <w:t>ny</w:t>
      </w:r>
      <w:r w:rsidRPr="00BA69CA">
        <w:t xml:space="preserve"> specified broker-dealer.</w:t>
      </w:r>
    </w:p>
    <w:p w14:paraId="5B0EF990" w14:textId="77777777" w:rsidR="00E60D20" w:rsidRPr="00BA69CA" w:rsidRDefault="00E60D20" w:rsidP="00450996"/>
    <w:p w14:paraId="7B9F3A2C" w14:textId="19CCA628" w:rsidR="001B6454" w:rsidRPr="00450996" w:rsidRDefault="00184969" w:rsidP="00450996">
      <w:pPr>
        <w:rPr>
          <w:rFonts w:ascii="Times New Roman" w:hAnsi="Times New Roman"/>
          <w:szCs w:val="24"/>
          <w:u w:val="single"/>
        </w:rPr>
      </w:pPr>
      <w:r w:rsidRPr="00450996">
        <w:rPr>
          <w:u w:val="single"/>
        </w:rPr>
        <w:t>Aggregation of Client Orders</w:t>
      </w:r>
    </w:p>
    <w:p w14:paraId="26879CB4" w14:textId="77777777" w:rsidR="001B6454" w:rsidRPr="00BA69CA" w:rsidRDefault="001B6454" w:rsidP="00450996">
      <w:pPr>
        <w:rPr>
          <w:rFonts w:ascii="Times New Roman" w:hAnsi="Times New Roman"/>
          <w:szCs w:val="24"/>
        </w:rPr>
      </w:pPr>
    </w:p>
    <w:p w14:paraId="4DD25DA3" w14:textId="77777777" w:rsidR="00C65A6E" w:rsidRPr="00602908" w:rsidRDefault="00C65A6E" w:rsidP="00C65A6E">
      <w:r>
        <w:t>We</w:t>
      </w:r>
      <w:r w:rsidRPr="002B6D88">
        <w:t xml:space="preserve"> will </w:t>
      </w:r>
      <w:r>
        <w:t>aggregate trades</w:t>
      </w:r>
      <w:r w:rsidRPr="002B6D88">
        <w:t xml:space="preserve"> where possible and when advantageous to clients. This </w:t>
      </w:r>
      <w:r>
        <w:t xml:space="preserve">aggregation of </w:t>
      </w:r>
      <w:proofErr w:type="gramStart"/>
      <w:r>
        <w:t>trades</w:t>
      </w:r>
      <w:proofErr w:type="gramEnd"/>
      <w:r w:rsidRPr="002B6D88">
        <w:t xml:space="preserve"> permits the trading of aggregate blocks of securities composed of assets from multiple client accounts, so long as transaction costs are shared equally and on a pro-rated basis between all accounts included in any such block. Block trading may allow us to execute equity trades in a timelier, more equitable manner, at an average share price</w:t>
      </w:r>
      <w:r>
        <w:t>. We</w:t>
      </w:r>
      <w:r w:rsidRPr="002B6D88">
        <w:t xml:space="preserve"> will typically aggregate trades among clients whose accounts can be traded with a given broker. </w:t>
      </w:r>
    </w:p>
    <w:p w14:paraId="62A99E10" w14:textId="77777777" w:rsidR="00B66DC0" w:rsidRPr="00BA69CA" w:rsidRDefault="00B66DC0" w:rsidP="002C2765">
      <w:pPr>
        <w:widowControl w:val="0"/>
        <w:overflowPunct w:val="0"/>
        <w:autoSpaceDE w:val="0"/>
        <w:autoSpaceDN w:val="0"/>
        <w:adjustRightInd w:val="0"/>
        <w:spacing w:line="249" w:lineRule="auto"/>
        <w:ind w:right="260"/>
        <w:rPr>
          <w:rFonts w:ascii="Arial" w:hAnsi="Arial" w:cs="Arial"/>
          <w:sz w:val="20"/>
          <w:szCs w:val="20"/>
        </w:rPr>
      </w:pPr>
    </w:p>
    <w:p w14:paraId="2021B457" w14:textId="77777777" w:rsidR="00B66DC0" w:rsidRPr="00BA69CA" w:rsidRDefault="00B66DC0" w:rsidP="00B66DC0">
      <w:pPr>
        <w:widowControl w:val="0"/>
        <w:autoSpaceDE w:val="0"/>
        <w:autoSpaceDN w:val="0"/>
        <w:adjustRightInd w:val="0"/>
        <w:spacing w:line="205" w:lineRule="exact"/>
        <w:rPr>
          <w:rFonts w:ascii="Times New Roman" w:hAnsi="Times New Roman"/>
          <w:szCs w:val="24"/>
        </w:rPr>
      </w:pPr>
    </w:p>
    <w:p w14:paraId="48102FFE" w14:textId="091D51B0" w:rsidR="00B66DC0" w:rsidRPr="00BA69CA" w:rsidRDefault="00E77603" w:rsidP="00AC2CB6">
      <w:pPr>
        <w:pStyle w:val="Heading1"/>
        <w:rPr>
          <w:rFonts w:ascii="Times New Roman" w:hAnsi="Times New Roman"/>
        </w:rPr>
      </w:pPr>
      <w:bookmarkStart w:id="21" w:name="_Toc208132675"/>
      <w:r>
        <w:lastRenderedPageBreak/>
        <w:t xml:space="preserve">Item 13 - </w:t>
      </w:r>
      <w:r w:rsidR="00B66DC0" w:rsidRPr="00BA69CA">
        <w:t xml:space="preserve">Review </w:t>
      </w:r>
      <w:r>
        <w:t xml:space="preserve">of </w:t>
      </w:r>
      <w:r w:rsidR="00B66DC0" w:rsidRPr="00BA69CA">
        <w:t>Accounts</w:t>
      </w:r>
      <w:bookmarkEnd w:id="21"/>
      <w:r w:rsidR="00B66DC0" w:rsidRPr="00BA69CA">
        <w:t xml:space="preserve"> </w:t>
      </w:r>
    </w:p>
    <w:p w14:paraId="300DFA91" w14:textId="77777777" w:rsidR="00B66DC0" w:rsidRPr="00BA69CA" w:rsidRDefault="00B66DC0" w:rsidP="00B66DC0">
      <w:pPr>
        <w:widowControl w:val="0"/>
        <w:autoSpaceDE w:val="0"/>
        <w:autoSpaceDN w:val="0"/>
        <w:adjustRightInd w:val="0"/>
        <w:spacing w:line="263" w:lineRule="exact"/>
        <w:rPr>
          <w:rFonts w:ascii="Times New Roman" w:hAnsi="Times New Roman"/>
          <w:szCs w:val="24"/>
        </w:rPr>
      </w:pPr>
      <w:r w:rsidRPr="00BA69CA">
        <w:rPr>
          <w:noProof/>
        </w:rPr>
        <mc:AlternateContent>
          <mc:Choice Requires="wps">
            <w:drawing>
              <wp:anchor distT="0" distB="0" distL="114300" distR="114300" simplePos="0" relativeHeight="251679744" behindDoc="1" locked="0" layoutInCell="0" allowOverlap="1" wp14:anchorId="28F7A15D" wp14:editId="3EF62E46">
                <wp:simplePos x="0" y="0"/>
                <wp:positionH relativeFrom="column">
                  <wp:posOffset>-19050</wp:posOffset>
                </wp:positionH>
                <wp:positionV relativeFrom="paragraph">
                  <wp:posOffset>27940</wp:posOffset>
                </wp:positionV>
                <wp:extent cx="5981700" cy="0"/>
                <wp:effectExtent l="0" t="0" r="0" b="0"/>
                <wp:wrapNone/>
                <wp:docPr id="14"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B823EA" id="Line 16"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SasAEAAEgDAAAOAAAAZHJzL2Uyb0RvYy54bWysU8Fu2zAMvQ/YPwi6L3YKtGuNOD2k6y7d&#10;FqDdBzCSbAuTRYFUYufvJ6lJWmy3YT4Ikkg+vfdIr+7n0YmDIbboW7lc1FIYr1Bb37fy58vjp1sp&#10;OILX4NCbVh4Ny/v1xw+rKTTmCgd02pBIIJ6bKbRyiDE0VcVqMCPwAoPxKdghjRDTkfpKE0wJfXTV&#10;VV3fVBOSDoTKMKfbh9egXBf8rjMq/ug6NlG4ViZusaxU1l1eq/UKmp4gDFadaMA/sBjB+vToBeoB&#10;Iog92b+gRqsIGbu4UDhW2HVWmaIhqVnWf6h5HiCYoiWZw+FiE/8/WPX9sPFbytTV7J/DE6pfLDxu&#10;BvC9KQRejiE1bpmtqqbAzaUkHzhsSeymb6hTDuwjFhfmjsYMmfSJuZh9vJht5ihUury+u11+rlNP&#10;1DlWQXMuDMTxq8FR5E0rnfXZB2jg8MQxE4HmnJKvPT5a50ovnRdTK2/qu+tSwOiszsGcxtTvNo7E&#10;AfI0lK+oSpH3aYR7rwvYYEB/Oe0jWPe6T487fzIj68/Dxs0O9XFLZ5NSuwrL02jleXh/LtVvP8D6&#10;NwAAAP//AwBQSwMEFAAGAAgAAAAhAIaGZXbZAAAABgEAAA8AAABkcnMvZG93bnJldi54bWxMj8tO&#10;wzAQRfdI/IM1SGxQ64RWQEOcCip1yYICezceYlM/oozThr9nYEOXR3d075l6PQUvjjiQS1FBOS9A&#10;YGyTcbFT8P62nT2AoKyj0T5FVPCNBOvm8qLWlUmn+IrHXe4El0SqtAKbc19JSa3FoGmeeoycfaYh&#10;6Mw4dNIM+sTlwcvboriTQbvIC1b3uLHYHnZjUOC+BiLbls8l+cN2czN6d//yodT11fT0CCLjlP+P&#10;4Vef1aFhp30aoyHhFcwW/EpWsFyC4Hi1WDHv/1g2tTzXb34AAAD//wMAUEsBAi0AFAAGAAgAAAAh&#10;ALaDOJL+AAAA4QEAABMAAAAAAAAAAAAAAAAAAAAAAFtDb250ZW50X1R5cGVzXS54bWxQSwECLQAU&#10;AAYACAAAACEAOP0h/9YAAACUAQAACwAAAAAAAAAAAAAAAAAvAQAAX3JlbHMvLnJlbHNQSwECLQAU&#10;AAYACAAAACEAB6zEmrABAABIAwAADgAAAAAAAAAAAAAAAAAuAgAAZHJzL2Uyb0RvYy54bWxQSwEC&#10;LQAUAAYACAAAACEAhoZldtkAAAAGAQAADwAAAAAAAAAAAAAAAAAKBAAAZHJzL2Rvd25yZXYueG1s&#10;UEsFBgAAAAAEAAQA8wAAABAFAAAAAA==&#10;" o:allowincell="f" strokeweight=".16931mm"/>
            </w:pict>
          </mc:Fallback>
        </mc:AlternateContent>
      </w:r>
    </w:p>
    <w:p w14:paraId="6CE67268" w14:textId="5CD0C0A9" w:rsidR="002C2765" w:rsidRPr="00450996" w:rsidRDefault="00B66DC0" w:rsidP="00801BF2">
      <w:pPr>
        <w:widowControl w:val="0"/>
        <w:overflowPunct w:val="0"/>
        <w:autoSpaceDE w:val="0"/>
        <w:autoSpaceDN w:val="0"/>
        <w:adjustRightInd w:val="0"/>
        <w:spacing w:line="249" w:lineRule="auto"/>
        <w:ind w:right="260"/>
        <w:rPr>
          <w:rFonts w:cs="Arial"/>
          <w:szCs w:val="24"/>
        </w:rPr>
      </w:pPr>
      <w:r w:rsidRPr="00450996">
        <w:rPr>
          <w:rFonts w:cs="Arial"/>
          <w:szCs w:val="24"/>
        </w:rPr>
        <w:t xml:space="preserve">Accounts at the Client’s various financial institutions may be reviewed during </w:t>
      </w:r>
      <w:r w:rsidR="009C4336" w:rsidRPr="00450996">
        <w:rPr>
          <w:rFonts w:cs="Arial"/>
          <w:szCs w:val="24"/>
        </w:rPr>
        <w:t>production</w:t>
      </w:r>
      <w:r w:rsidR="00801EB8" w:rsidRPr="00450996">
        <w:rPr>
          <w:rFonts w:cs="Arial"/>
          <w:szCs w:val="24"/>
        </w:rPr>
        <w:t xml:space="preserve"> and preparation of a comprehensive </w:t>
      </w:r>
      <w:r w:rsidRPr="00450996">
        <w:rPr>
          <w:rFonts w:cs="Arial"/>
          <w:szCs w:val="24"/>
        </w:rPr>
        <w:t>financial plan</w:t>
      </w:r>
      <w:r w:rsidR="000F0B42" w:rsidRPr="00450996">
        <w:rPr>
          <w:rFonts w:cs="Arial"/>
          <w:szCs w:val="24"/>
        </w:rPr>
        <w:t>ning review</w:t>
      </w:r>
      <w:r w:rsidRPr="00450996">
        <w:rPr>
          <w:rFonts w:cs="Arial"/>
          <w:szCs w:val="24"/>
        </w:rPr>
        <w:t xml:space="preserve">. Overall investment and portfolio management concepts </w:t>
      </w:r>
      <w:r w:rsidR="00184969" w:rsidRPr="00450996">
        <w:rPr>
          <w:rFonts w:cs="Arial"/>
          <w:szCs w:val="24"/>
        </w:rPr>
        <w:t>are considered</w:t>
      </w:r>
      <w:r w:rsidR="002C2765" w:rsidRPr="00450996">
        <w:rPr>
          <w:rFonts w:cs="Arial"/>
          <w:szCs w:val="24"/>
        </w:rPr>
        <w:t xml:space="preserve"> in the review process in relation to the Client’s stated objectives, investment experience, time horizon, and risk parameters</w:t>
      </w:r>
      <w:r w:rsidR="00184969" w:rsidRPr="00450996">
        <w:rPr>
          <w:rFonts w:cs="Arial"/>
          <w:szCs w:val="24"/>
        </w:rPr>
        <w:t xml:space="preserve">. </w:t>
      </w:r>
    </w:p>
    <w:p w14:paraId="308FD585" w14:textId="77777777" w:rsidR="00165793" w:rsidRPr="00450996" w:rsidRDefault="00165793" w:rsidP="00801BF2">
      <w:pPr>
        <w:widowControl w:val="0"/>
        <w:overflowPunct w:val="0"/>
        <w:autoSpaceDE w:val="0"/>
        <w:autoSpaceDN w:val="0"/>
        <w:adjustRightInd w:val="0"/>
        <w:spacing w:line="249" w:lineRule="auto"/>
        <w:ind w:right="260"/>
        <w:rPr>
          <w:rFonts w:cs="Arial"/>
          <w:szCs w:val="24"/>
        </w:rPr>
      </w:pPr>
    </w:p>
    <w:p w14:paraId="63B6D825" w14:textId="793C50EA" w:rsidR="00924EEB" w:rsidRDefault="00257B13" w:rsidP="00924EEB">
      <w:pPr>
        <w:widowControl w:val="0"/>
        <w:overflowPunct w:val="0"/>
        <w:autoSpaceDE w:val="0"/>
        <w:autoSpaceDN w:val="0"/>
        <w:adjustRightInd w:val="0"/>
        <w:spacing w:line="249" w:lineRule="auto"/>
        <w:ind w:right="260"/>
        <w:rPr>
          <w:rFonts w:cs="Arial"/>
          <w:szCs w:val="24"/>
        </w:rPr>
      </w:pPr>
      <w:r>
        <w:rPr>
          <w:rFonts w:cs="Arial"/>
          <w:szCs w:val="24"/>
        </w:rPr>
        <w:t>For</w:t>
      </w:r>
      <w:r w:rsidR="00AB5E1D" w:rsidRPr="00450996">
        <w:rPr>
          <w:rFonts w:cs="Arial"/>
          <w:szCs w:val="24"/>
        </w:rPr>
        <w:t xml:space="preserve"> one-time eng</w:t>
      </w:r>
      <w:r w:rsidR="009A5B6F" w:rsidRPr="00450996">
        <w:rPr>
          <w:rFonts w:cs="Arial"/>
          <w:szCs w:val="24"/>
        </w:rPr>
        <w:t>ag</w:t>
      </w:r>
      <w:r w:rsidR="00AB5E1D" w:rsidRPr="00450996">
        <w:rPr>
          <w:rFonts w:cs="Arial"/>
          <w:szCs w:val="24"/>
        </w:rPr>
        <w:t>ements</w:t>
      </w:r>
      <w:r w:rsidR="00AF7C47">
        <w:rPr>
          <w:rFonts w:cs="Arial"/>
          <w:szCs w:val="24"/>
        </w:rPr>
        <w:t>, t</w:t>
      </w:r>
      <w:r w:rsidR="00AB5E1D" w:rsidRPr="00450996">
        <w:rPr>
          <w:rFonts w:cs="Arial"/>
          <w:szCs w:val="24"/>
        </w:rPr>
        <w:t xml:space="preserve">here </w:t>
      </w:r>
      <w:r w:rsidR="005575EA" w:rsidRPr="00450996">
        <w:rPr>
          <w:rFonts w:cs="Arial"/>
          <w:szCs w:val="24"/>
        </w:rPr>
        <w:t xml:space="preserve">is no expectation or obligation that </w:t>
      </w:r>
      <w:r w:rsidR="00AF7C47" w:rsidRPr="00450996">
        <w:rPr>
          <w:rFonts w:cs="Arial"/>
          <w:szCs w:val="24"/>
        </w:rPr>
        <w:t>FPH</w:t>
      </w:r>
      <w:r w:rsidR="005575EA" w:rsidRPr="00450996">
        <w:rPr>
          <w:rFonts w:cs="Arial"/>
          <w:szCs w:val="24"/>
        </w:rPr>
        <w:t xml:space="preserve"> provide</w:t>
      </w:r>
      <w:r w:rsidR="00AB5E1D" w:rsidRPr="00450996">
        <w:rPr>
          <w:rFonts w:cs="Arial"/>
          <w:szCs w:val="24"/>
        </w:rPr>
        <w:t xml:space="preserve"> o</w:t>
      </w:r>
      <w:r w:rsidR="00330312" w:rsidRPr="00450996">
        <w:rPr>
          <w:rFonts w:cs="Arial"/>
          <w:szCs w:val="24"/>
        </w:rPr>
        <w:t>n</w:t>
      </w:r>
      <w:r w:rsidR="00AB5E1D" w:rsidRPr="00450996">
        <w:rPr>
          <w:rFonts w:cs="Arial"/>
          <w:szCs w:val="24"/>
        </w:rPr>
        <w:t>going account rev</w:t>
      </w:r>
      <w:r w:rsidR="00330312" w:rsidRPr="00450996">
        <w:rPr>
          <w:rFonts w:cs="Arial"/>
          <w:szCs w:val="24"/>
        </w:rPr>
        <w:t>iews after the initial</w:t>
      </w:r>
      <w:r w:rsidR="00F67769" w:rsidRPr="00450996">
        <w:rPr>
          <w:rFonts w:cs="Arial"/>
          <w:szCs w:val="24"/>
        </w:rPr>
        <w:t xml:space="preserve"> service agreement has been completed.</w:t>
      </w:r>
    </w:p>
    <w:p w14:paraId="5D470095" w14:textId="77777777" w:rsidR="00257B13" w:rsidRDefault="00257B13" w:rsidP="00924EEB">
      <w:pPr>
        <w:widowControl w:val="0"/>
        <w:overflowPunct w:val="0"/>
        <w:autoSpaceDE w:val="0"/>
        <w:autoSpaceDN w:val="0"/>
        <w:adjustRightInd w:val="0"/>
        <w:spacing w:line="249" w:lineRule="auto"/>
        <w:ind w:right="260"/>
        <w:rPr>
          <w:rFonts w:cs="Arial"/>
          <w:szCs w:val="24"/>
        </w:rPr>
      </w:pPr>
    </w:p>
    <w:p w14:paraId="47DD4F51" w14:textId="33FEFD38" w:rsidR="00257B13" w:rsidRPr="00450996" w:rsidRDefault="00257B13" w:rsidP="00924EEB">
      <w:pPr>
        <w:widowControl w:val="0"/>
        <w:overflowPunct w:val="0"/>
        <w:autoSpaceDE w:val="0"/>
        <w:autoSpaceDN w:val="0"/>
        <w:adjustRightInd w:val="0"/>
        <w:spacing w:line="249" w:lineRule="auto"/>
        <w:ind w:right="260"/>
        <w:rPr>
          <w:szCs w:val="24"/>
        </w:rPr>
      </w:pPr>
      <w:r>
        <w:rPr>
          <w:rFonts w:cs="Arial"/>
          <w:szCs w:val="24"/>
        </w:rPr>
        <w:t>For Clients who engage FPH for ongoing portfolio management, clients are encouraged to schedule planning review meetings as often or as infrequently as they wish.  All Clients receive portfolio management and timely financial planning updates via the firm’s bi-monthly newsletter.</w:t>
      </w:r>
    </w:p>
    <w:p w14:paraId="3BA05290" w14:textId="77777777" w:rsidR="00D14AD1" w:rsidRPr="00BA69CA" w:rsidRDefault="00D14AD1" w:rsidP="00D14AD1">
      <w:pPr>
        <w:widowControl w:val="0"/>
        <w:autoSpaceDE w:val="0"/>
        <w:autoSpaceDN w:val="0"/>
        <w:adjustRightInd w:val="0"/>
        <w:spacing w:line="212" w:lineRule="exact"/>
        <w:rPr>
          <w:rFonts w:ascii="Times New Roman" w:hAnsi="Times New Roman"/>
          <w:szCs w:val="24"/>
        </w:rPr>
      </w:pPr>
    </w:p>
    <w:p w14:paraId="108C3190" w14:textId="0146A294" w:rsidR="00D14AD1" w:rsidRPr="00E77603" w:rsidRDefault="00E77603" w:rsidP="00E77603">
      <w:pPr>
        <w:pStyle w:val="Heading1"/>
        <w:rPr>
          <w:rFonts w:ascii="Times New Roman" w:hAnsi="Times New Roman"/>
        </w:rPr>
      </w:pPr>
      <w:bookmarkStart w:id="22" w:name="_Toc208132676"/>
      <w:r w:rsidRPr="00E77603">
        <w:t xml:space="preserve">Item 14 - </w:t>
      </w:r>
      <w:r w:rsidR="00D14AD1" w:rsidRPr="00E77603">
        <w:t>Client Referrals and Other Compensation</w:t>
      </w:r>
      <w:bookmarkEnd w:id="22"/>
    </w:p>
    <w:p w14:paraId="6D560D38" w14:textId="77777777" w:rsidR="00D14AD1" w:rsidRPr="00BA69CA" w:rsidRDefault="00D14AD1" w:rsidP="00D14AD1">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73600" behindDoc="1" locked="0" layoutInCell="0" allowOverlap="1" wp14:anchorId="22084DC8" wp14:editId="339CB16C">
                <wp:simplePos x="0" y="0"/>
                <wp:positionH relativeFrom="column">
                  <wp:posOffset>-19050</wp:posOffset>
                </wp:positionH>
                <wp:positionV relativeFrom="paragraph">
                  <wp:posOffset>27940</wp:posOffset>
                </wp:positionV>
                <wp:extent cx="5981700" cy="0"/>
                <wp:effectExtent l="0" t="0" r="0" b="0"/>
                <wp:wrapNone/>
                <wp:docPr id="13"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08468" id="Line 17"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1946081F" w14:textId="77777777" w:rsidR="00D14AD1" w:rsidRPr="00450996" w:rsidRDefault="00D14AD1" w:rsidP="00450996">
      <w:pPr>
        <w:rPr>
          <w:szCs w:val="24"/>
          <w:u w:val="single"/>
        </w:rPr>
      </w:pPr>
      <w:r w:rsidRPr="00450996">
        <w:rPr>
          <w:u w:val="single"/>
        </w:rPr>
        <w:t>Receipt of Economic Benefit (non-client)</w:t>
      </w:r>
    </w:p>
    <w:p w14:paraId="2EB23A98" w14:textId="77777777" w:rsidR="00D14AD1" w:rsidRPr="00450996" w:rsidRDefault="00D14AD1" w:rsidP="00450996">
      <w:pPr>
        <w:rPr>
          <w:szCs w:val="24"/>
        </w:rPr>
      </w:pPr>
    </w:p>
    <w:p w14:paraId="067EAEF1" w14:textId="77777777" w:rsidR="00D14AD1" w:rsidRPr="00450996" w:rsidRDefault="00D14AD1" w:rsidP="00450996">
      <w:pPr>
        <w:rPr>
          <w:szCs w:val="24"/>
        </w:rPr>
      </w:pPr>
      <w:r w:rsidRPr="00450996">
        <w:t>FPH does not receive an economic benefit for providing investment advice or other advisory services from someone who is not a client</w:t>
      </w:r>
      <w:r w:rsidRPr="00450996">
        <w:rPr>
          <w:i/>
          <w:iCs/>
          <w:color w:val="0070C0"/>
        </w:rPr>
        <w:t>.</w:t>
      </w:r>
    </w:p>
    <w:p w14:paraId="4509FF3C" w14:textId="77777777" w:rsidR="00D14AD1" w:rsidRPr="00450996" w:rsidRDefault="00D14AD1" w:rsidP="00450996">
      <w:pPr>
        <w:rPr>
          <w:szCs w:val="24"/>
        </w:rPr>
      </w:pPr>
    </w:p>
    <w:p w14:paraId="2B9176AB" w14:textId="77777777" w:rsidR="00D14AD1" w:rsidRPr="00450996" w:rsidRDefault="00D14AD1" w:rsidP="00450996">
      <w:pPr>
        <w:rPr>
          <w:szCs w:val="24"/>
          <w:u w:val="single"/>
        </w:rPr>
      </w:pPr>
      <w:r w:rsidRPr="00450996">
        <w:rPr>
          <w:u w:val="single"/>
        </w:rPr>
        <w:t>Direct/Indirect Compensation for Client Referrals</w:t>
      </w:r>
    </w:p>
    <w:p w14:paraId="068237BF" w14:textId="77777777" w:rsidR="00D14AD1" w:rsidRPr="00450996" w:rsidRDefault="00D14AD1" w:rsidP="00450996">
      <w:pPr>
        <w:rPr>
          <w:szCs w:val="24"/>
        </w:rPr>
      </w:pPr>
    </w:p>
    <w:p w14:paraId="270D7717" w14:textId="73E5B8EA" w:rsidR="003741FB" w:rsidRPr="00450996" w:rsidRDefault="00D14AD1" w:rsidP="00450996">
      <w:pPr>
        <w:rPr>
          <w:szCs w:val="24"/>
        </w:rPr>
      </w:pPr>
      <w:r w:rsidRPr="00450996">
        <w:t xml:space="preserve">Neither FPH nor any of its related </w:t>
      </w:r>
      <w:proofErr w:type="gramStart"/>
      <w:r w:rsidRPr="00450996">
        <w:t>persons</w:t>
      </w:r>
      <w:proofErr w:type="gramEnd"/>
      <w:r w:rsidRPr="00450996">
        <w:t xml:space="preserve"> directly or indirectly compensate any person who is not its </w:t>
      </w:r>
      <w:r w:rsidR="002D5F74">
        <w:t>Supervised Person</w:t>
      </w:r>
      <w:r w:rsidRPr="00450996">
        <w:t xml:space="preserve"> for client referrals.</w:t>
      </w:r>
    </w:p>
    <w:p w14:paraId="61605E09" w14:textId="77777777" w:rsidR="00D14AD1" w:rsidRPr="00BA69CA" w:rsidRDefault="00D14AD1" w:rsidP="00D14AD1">
      <w:pPr>
        <w:widowControl w:val="0"/>
        <w:autoSpaceDE w:val="0"/>
        <w:autoSpaceDN w:val="0"/>
        <w:adjustRightInd w:val="0"/>
        <w:spacing w:line="157" w:lineRule="exact"/>
        <w:rPr>
          <w:rFonts w:ascii="Times New Roman" w:hAnsi="Times New Roman"/>
          <w:szCs w:val="24"/>
        </w:rPr>
      </w:pPr>
    </w:p>
    <w:p w14:paraId="49046C37" w14:textId="38AEB269" w:rsidR="00D14AD1" w:rsidRPr="00BA69CA" w:rsidRDefault="00E77603" w:rsidP="00E77603">
      <w:pPr>
        <w:pStyle w:val="Heading1"/>
        <w:rPr>
          <w:rFonts w:ascii="Times New Roman" w:hAnsi="Times New Roman"/>
        </w:rPr>
      </w:pPr>
      <w:bookmarkStart w:id="23" w:name="_Toc208132677"/>
      <w:r>
        <w:t xml:space="preserve">Item 15 - </w:t>
      </w:r>
      <w:r w:rsidR="00D14AD1" w:rsidRPr="00BA69CA">
        <w:t>Custody</w:t>
      </w:r>
      <w:bookmarkEnd w:id="23"/>
    </w:p>
    <w:p w14:paraId="49B857DE" w14:textId="77777777" w:rsidR="00D14AD1" w:rsidRPr="00BA69CA" w:rsidRDefault="00D14AD1" w:rsidP="00D14AD1">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74624" behindDoc="1" locked="0" layoutInCell="0" allowOverlap="1" wp14:anchorId="1D4F45D1" wp14:editId="053624A4">
                <wp:simplePos x="0" y="0"/>
                <wp:positionH relativeFrom="column">
                  <wp:posOffset>-19050</wp:posOffset>
                </wp:positionH>
                <wp:positionV relativeFrom="paragraph">
                  <wp:posOffset>27940</wp:posOffset>
                </wp:positionV>
                <wp:extent cx="5981700" cy="0"/>
                <wp:effectExtent l="0" t="0" r="0" b="0"/>
                <wp:wrapNone/>
                <wp:docPr id="12"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F5BEED" id="Line 18"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3E64DE75" w14:textId="2E5D0F50" w:rsidR="003741FB" w:rsidRPr="00BA69CA" w:rsidRDefault="00D14AD1" w:rsidP="00450996">
      <w:pPr>
        <w:rPr>
          <w:rFonts w:ascii="Times New Roman" w:hAnsi="Times New Roman"/>
          <w:szCs w:val="24"/>
        </w:rPr>
      </w:pPr>
      <w:r w:rsidRPr="00BA69CA">
        <w:t xml:space="preserve">FPH does not maintain custody of client funds and/or securities. Therefore, clients will receive their monthly and/or quarterly account statements directly from their designated broker/dealer, bank or other qualified custodian of record and therefore should carefully review those statements for accuracy. </w:t>
      </w:r>
      <w:proofErr w:type="gramStart"/>
      <w:r w:rsidRPr="00BA69CA">
        <w:t>In the event that</w:t>
      </w:r>
      <w:proofErr w:type="gramEnd"/>
      <w:r w:rsidRPr="00BA69CA">
        <w:t xml:space="preserve"> clients also receive account statements from FPH</w:t>
      </w:r>
      <w:r w:rsidR="00D0169A" w:rsidRPr="00BA69CA">
        <w:t xml:space="preserve"> (particularly through eMoney Advisor)</w:t>
      </w:r>
      <w:r w:rsidRPr="00BA69CA">
        <w:t>,</w:t>
      </w:r>
      <w:r w:rsidR="00D0169A" w:rsidRPr="00BA69CA">
        <w:t xml:space="preserve"> Clients are s</w:t>
      </w:r>
      <w:r w:rsidRPr="00BA69CA">
        <w:t>trongly encourage</w:t>
      </w:r>
      <w:r w:rsidR="00D0169A" w:rsidRPr="00BA69CA">
        <w:t>d</w:t>
      </w:r>
      <w:r w:rsidRPr="00BA69CA">
        <w:t xml:space="preserve"> each to compare the account statements they receive from the qualified custodian with those received </w:t>
      </w:r>
      <w:r w:rsidR="00D0169A" w:rsidRPr="00BA69CA">
        <w:t xml:space="preserve">from </w:t>
      </w:r>
      <w:r w:rsidRPr="00BA69CA">
        <w:t>FPH</w:t>
      </w:r>
      <w:r w:rsidR="00C357F6" w:rsidRPr="00BA69CA">
        <w:t xml:space="preserve">. </w:t>
      </w:r>
      <w:r w:rsidR="00D0169A" w:rsidRPr="00BA69CA">
        <w:t xml:space="preserve">Statements issued by </w:t>
      </w:r>
      <w:r w:rsidR="001A0D86" w:rsidRPr="00BA69CA">
        <w:t>financial</w:t>
      </w:r>
      <w:r w:rsidR="00D0169A" w:rsidRPr="00BA69CA">
        <w:t xml:space="preserve"> institutions should always be regarded as the primary, current, and accurate source of information.</w:t>
      </w:r>
    </w:p>
    <w:p w14:paraId="33F8BCDA" w14:textId="77777777" w:rsidR="00D14AD1" w:rsidRPr="00BA69CA" w:rsidRDefault="00D14AD1" w:rsidP="00D14AD1">
      <w:pPr>
        <w:widowControl w:val="0"/>
        <w:autoSpaceDE w:val="0"/>
        <w:autoSpaceDN w:val="0"/>
        <w:adjustRightInd w:val="0"/>
        <w:spacing w:line="188" w:lineRule="exact"/>
        <w:rPr>
          <w:rFonts w:ascii="Times New Roman" w:hAnsi="Times New Roman"/>
          <w:szCs w:val="24"/>
        </w:rPr>
      </w:pPr>
    </w:p>
    <w:p w14:paraId="6871D9A6" w14:textId="2A03FE0B" w:rsidR="00D14AD1" w:rsidRPr="00BA69CA" w:rsidRDefault="001E503C" w:rsidP="001E503C">
      <w:pPr>
        <w:pStyle w:val="Heading1"/>
        <w:rPr>
          <w:rFonts w:ascii="Times New Roman" w:hAnsi="Times New Roman"/>
        </w:rPr>
      </w:pPr>
      <w:bookmarkStart w:id="24" w:name="_Toc208132678"/>
      <w:r>
        <w:t xml:space="preserve">Item 16 - </w:t>
      </w:r>
      <w:r w:rsidR="00D14AD1" w:rsidRPr="00BA69CA">
        <w:t>Investment Discretion</w:t>
      </w:r>
      <w:bookmarkEnd w:id="24"/>
    </w:p>
    <w:p w14:paraId="72B7A911" w14:textId="77777777" w:rsidR="00D14AD1" w:rsidRPr="00BA69CA" w:rsidRDefault="00D14AD1" w:rsidP="00D14AD1">
      <w:pPr>
        <w:widowControl w:val="0"/>
        <w:autoSpaceDE w:val="0"/>
        <w:autoSpaceDN w:val="0"/>
        <w:adjustRightInd w:val="0"/>
        <w:spacing w:line="263" w:lineRule="exact"/>
        <w:rPr>
          <w:rFonts w:ascii="Times New Roman" w:hAnsi="Times New Roman"/>
          <w:szCs w:val="24"/>
        </w:rPr>
      </w:pPr>
      <w:r w:rsidRPr="00BA69CA">
        <w:rPr>
          <w:noProof/>
        </w:rPr>
        <mc:AlternateContent>
          <mc:Choice Requires="wps">
            <w:drawing>
              <wp:anchor distT="0" distB="0" distL="114300" distR="114300" simplePos="0" relativeHeight="251675648" behindDoc="1" locked="0" layoutInCell="0" allowOverlap="1" wp14:anchorId="09286686" wp14:editId="6DF1C5F8">
                <wp:simplePos x="0" y="0"/>
                <wp:positionH relativeFrom="column">
                  <wp:posOffset>-19050</wp:posOffset>
                </wp:positionH>
                <wp:positionV relativeFrom="paragraph">
                  <wp:posOffset>27305</wp:posOffset>
                </wp:positionV>
                <wp:extent cx="5981700" cy="0"/>
                <wp:effectExtent l="0" t="0" r="0" b="0"/>
                <wp:wrapNone/>
                <wp:docPr id="11"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D4C3D0" id="Line 19"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15pt" to="469.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GVGKudwAAAAGAQAADwAAAGRycy9kb3ducmV2LnhtbEyPQUvD&#10;QBCF70L/wzIFb+2mRjSJ2ZSiKPQgYls8b7NjEpOdDdltk/57Ry96/HjDe9/k68l24oyDbxwpWC0j&#10;EEilMw1VCg7750UCwgdNRneOUMEFPayL2VWuM+NGesfzLlSCS8hnWkEdQp9J6csarfZL1yNx9ukG&#10;qwPjUEkz6JHLbSdvouhOWt0QL9S6x8cay3Z3sgpeE/nk3tqP8vI17l+SZNum99uDUtfzafMAIuAU&#10;/o7hR5/VoWCnozuR8aJTsIj5laDgNgbBcRqnzMdflkUu/+sX3wAAAP//AwBQSwECLQAUAAYACAAA&#10;ACEAtoM4kv4AAADhAQAAEwAAAAAAAAAAAAAAAAAAAAAAW0NvbnRlbnRfVHlwZXNdLnhtbFBLAQIt&#10;ABQABgAIAAAAIQA4/SH/1gAAAJQBAAALAAAAAAAAAAAAAAAAAC8BAABfcmVscy8ucmVsc1BLAQIt&#10;ABQABgAIAAAAIQD/NAUhrwEAAEgDAAAOAAAAAAAAAAAAAAAAAC4CAABkcnMvZTJvRG9jLnhtbFBL&#10;AQItABQABgAIAAAAIQAZUYq53AAAAAYBAAAPAAAAAAAAAAAAAAAAAAkEAABkcnMvZG93bnJldi54&#10;bWxQSwUGAAAAAAQABADzAAAAEgUAAAAA&#10;" o:allowincell="f" strokeweight=".48pt"/>
            </w:pict>
          </mc:Fallback>
        </mc:AlternateContent>
      </w:r>
    </w:p>
    <w:p w14:paraId="0EA05D1B" w14:textId="77777777" w:rsidR="00276959" w:rsidRDefault="00276959" w:rsidP="00276959">
      <w:r w:rsidRPr="00276959">
        <w:t xml:space="preserve">Clients may hire us to provide discretionary asset management services, in which case we place trades in a client's account without contacting the client prior to each trade to obtain the client's permission. </w:t>
      </w:r>
    </w:p>
    <w:p w14:paraId="3394421A" w14:textId="77777777" w:rsidR="00276959" w:rsidRDefault="00276959" w:rsidP="00276959"/>
    <w:p w14:paraId="1CDD0BE3" w14:textId="77777777" w:rsidR="00276959" w:rsidRDefault="00276959" w:rsidP="00276959">
      <w:r w:rsidRPr="00276959">
        <w:t xml:space="preserve">Our discretionary authority includes the ability to do the following without contacting the client: </w:t>
      </w:r>
    </w:p>
    <w:p w14:paraId="2BE016E3" w14:textId="77777777" w:rsidR="00276959" w:rsidRDefault="00276959" w:rsidP="00276959"/>
    <w:p w14:paraId="7B02C194" w14:textId="22A289C4" w:rsidR="00276959" w:rsidRDefault="00276959" w:rsidP="00276959">
      <w:pPr>
        <w:pStyle w:val="ListParagraph"/>
        <w:numPr>
          <w:ilvl w:val="0"/>
          <w:numId w:val="21"/>
        </w:numPr>
      </w:pPr>
      <w:r w:rsidRPr="00276959">
        <w:lastRenderedPageBreak/>
        <w:t xml:space="preserve">determine the security to buy or </w:t>
      </w:r>
      <w:proofErr w:type="gramStart"/>
      <w:r w:rsidRPr="00276959">
        <w:t>sell;</w:t>
      </w:r>
      <w:proofErr w:type="gramEnd"/>
      <w:r w:rsidRPr="00276959">
        <w:t xml:space="preserve"> </w:t>
      </w:r>
    </w:p>
    <w:p w14:paraId="4E2548A1" w14:textId="6D316566" w:rsidR="00276959" w:rsidRDefault="00276959" w:rsidP="00276959">
      <w:pPr>
        <w:pStyle w:val="ListParagraph"/>
        <w:numPr>
          <w:ilvl w:val="0"/>
          <w:numId w:val="21"/>
        </w:numPr>
      </w:pPr>
      <w:r w:rsidRPr="00276959">
        <w:t xml:space="preserve">determine the broker-dealer to be used for a purchase or sale of securities; and/or </w:t>
      </w:r>
    </w:p>
    <w:p w14:paraId="4EF0CAED" w14:textId="345615B1" w:rsidR="00276959" w:rsidRDefault="00276959" w:rsidP="00276959">
      <w:pPr>
        <w:pStyle w:val="ListParagraph"/>
        <w:numPr>
          <w:ilvl w:val="0"/>
          <w:numId w:val="21"/>
        </w:numPr>
      </w:pPr>
      <w:r w:rsidRPr="00276959">
        <w:t xml:space="preserve">determine </w:t>
      </w:r>
      <w:proofErr w:type="gramStart"/>
      <w:r w:rsidRPr="00276959">
        <w:t>the dollar</w:t>
      </w:r>
      <w:proofErr w:type="gramEnd"/>
      <w:r w:rsidRPr="00276959">
        <w:t xml:space="preserve"> amount of the security to buy or sell. </w:t>
      </w:r>
    </w:p>
    <w:p w14:paraId="208D42AE" w14:textId="77777777" w:rsidR="00276959" w:rsidRDefault="00276959" w:rsidP="00276959"/>
    <w:p w14:paraId="113F3D97" w14:textId="06A5C543" w:rsidR="00276959" w:rsidRDefault="00276959" w:rsidP="00276959">
      <w:r w:rsidRPr="00276959">
        <w:t xml:space="preserve">Clients give us discretionary authority when they sign an investment advisory agreement with us. </w:t>
      </w:r>
    </w:p>
    <w:p w14:paraId="7678309F" w14:textId="77777777" w:rsidR="00276959" w:rsidRDefault="00276959" w:rsidP="00276959"/>
    <w:p w14:paraId="7CB56371" w14:textId="1E71C9B3" w:rsidR="00276959" w:rsidRDefault="00276959" w:rsidP="00276959">
      <w:r w:rsidRPr="00276959">
        <w:t xml:space="preserve">Clients may also grant </w:t>
      </w:r>
      <w:r>
        <w:t>FPH</w:t>
      </w:r>
      <w:r w:rsidRPr="00276959">
        <w:t xml:space="preserve"> non-discretionary authority to execute investment recommendations. </w:t>
      </w:r>
    </w:p>
    <w:p w14:paraId="144EC744" w14:textId="77777777" w:rsidR="00276959" w:rsidRDefault="00276959" w:rsidP="00276959"/>
    <w:p w14:paraId="75F3140B" w14:textId="55B4CDFA" w:rsidR="001B6454" w:rsidRDefault="00276959" w:rsidP="00276959">
      <w:r w:rsidRPr="00276959">
        <w:t>Non-discretionary authority requires the firm to obtain your consent to each specific transaction prior to executing the investment recommendation.</w:t>
      </w:r>
    </w:p>
    <w:p w14:paraId="37C23286" w14:textId="77777777" w:rsidR="00276959" w:rsidRPr="00BA69CA" w:rsidRDefault="00276959" w:rsidP="00276959">
      <w:pPr>
        <w:rPr>
          <w:rFonts w:ascii="Times New Roman" w:hAnsi="Times New Roman"/>
          <w:szCs w:val="24"/>
        </w:rPr>
      </w:pPr>
    </w:p>
    <w:p w14:paraId="01B85E83" w14:textId="4DDBAA49" w:rsidR="001B6454" w:rsidRPr="00BA69CA" w:rsidRDefault="001E503C" w:rsidP="001E503C">
      <w:pPr>
        <w:pStyle w:val="Heading1"/>
        <w:rPr>
          <w:rFonts w:ascii="Times New Roman" w:hAnsi="Times New Roman"/>
        </w:rPr>
      </w:pPr>
      <w:bookmarkStart w:id="25" w:name="_Toc208132679"/>
      <w:r>
        <w:t xml:space="preserve">Item 17 - </w:t>
      </w:r>
      <w:r w:rsidR="00184969" w:rsidRPr="00BA69CA">
        <w:t>Voting Client Securities</w:t>
      </w:r>
      <w:bookmarkEnd w:id="25"/>
    </w:p>
    <w:p w14:paraId="190E7693" w14:textId="77777777" w:rsidR="001B6454" w:rsidRPr="00BA69CA" w:rsidRDefault="00F03077">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62336" behindDoc="1" locked="0" layoutInCell="0" allowOverlap="1" wp14:anchorId="6F44AA23" wp14:editId="383FE20C">
                <wp:simplePos x="0" y="0"/>
                <wp:positionH relativeFrom="column">
                  <wp:posOffset>-19050</wp:posOffset>
                </wp:positionH>
                <wp:positionV relativeFrom="paragraph">
                  <wp:posOffset>27940</wp:posOffset>
                </wp:positionV>
                <wp:extent cx="5981700" cy="0"/>
                <wp:effectExtent l="0" t="0" r="0" b="0"/>
                <wp:wrapNone/>
                <wp:docPr id="10"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B0818A" id="Line 20"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7AB2108E" w14:textId="2E5A1B1F" w:rsidR="00B039AB" w:rsidRDefault="00184969" w:rsidP="00450996">
      <w:r w:rsidRPr="00374031">
        <w:t xml:space="preserve">FPH does not have the authority to vote client proxies and therefore is not required to </w:t>
      </w:r>
      <w:r w:rsidR="00E802E9" w:rsidRPr="00374031">
        <w:t>act</w:t>
      </w:r>
      <w:r w:rsidRPr="00374031">
        <w:t xml:space="preserve"> or render advice with respect to voting of proxies solicited by or with respect to the issuers of securities in which assets of the clients account(s) may be invested from time to time. Clients will receive their proxies or other solicitations directly from their custodian or a transfer agent. Clients may contact John H. Robinson directly </w:t>
      </w:r>
      <w:proofErr w:type="gramStart"/>
      <w:r w:rsidRPr="00374031">
        <w:t>at</w:t>
      </w:r>
      <w:proofErr w:type="gramEnd"/>
      <w:r w:rsidRPr="00374031">
        <w:t xml:space="preserve"> (808) 564-0654 if they have any questions regarding a particular solicitation.</w:t>
      </w:r>
    </w:p>
    <w:p w14:paraId="6D507AE8" w14:textId="24A9C2CC" w:rsidR="0083403F" w:rsidRDefault="0083403F" w:rsidP="0083403F">
      <w:pPr>
        <w:pStyle w:val="Heading1"/>
      </w:pPr>
      <w:bookmarkStart w:id="26" w:name="_Toc208132680"/>
      <w:r>
        <w:t>Item 18 – Financial Information</w:t>
      </w:r>
      <w:bookmarkEnd w:id="26"/>
    </w:p>
    <w:p w14:paraId="5ED1A754" w14:textId="3567968F" w:rsidR="0083403F" w:rsidRDefault="00B039AB">
      <w:pPr>
        <w:widowControl w:val="0"/>
        <w:overflowPunct w:val="0"/>
        <w:autoSpaceDE w:val="0"/>
        <w:autoSpaceDN w:val="0"/>
        <w:adjustRightInd w:val="0"/>
        <w:spacing w:line="249" w:lineRule="auto"/>
        <w:ind w:right="40"/>
        <w:rPr>
          <w:rFonts w:ascii="Arial" w:hAnsi="Arial" w:cs="Arial"/>
          <w:sz w:val="20"/>
          <w:szCs w:val="20"/>
        </w:rPr>
      </w:pPr>
      <w:r>
        <w:rPr>
          <w:rFonts w:ascii="Arial" w:hAnsi="Arial" w:cs="Arial"/>
          <w:sz w:val="20"/>
          <w:szCs w:val="20"/>
        </w:rPr>
        <w:t>___________________________________________________________________________________</w:t>
      </w:r>
    </w:p>
    <w:p w14:paraId="342CDDAA" w14:textId="77777777" w:rsidR="00B039AB" w:rsidRDefault="00B039AB">
      <w:pPr>
        <w:widowControl w:val="0"/>
        <w:overflowPunct w:val="0"/>
        <w:autoSpaceDE w:val="0"/>
        <w:autoSpaceDN w:val="0"/>
        <w:adjustRightInd w:val="0"/>
        <w:spacing w:line="249" w:lineRule="auto"/>
        <w:ind w:right="40"/>
        <w:rPr>
          <w:rFonts w:ascii="Arial" w:hAnsi="Arial" w:cs="Arial"/>
          <w:sz w:val="20"/>
          <w:szCs w:val="20"/>
        </w:rPr>
      </w:pPr>
    </w:p>
    <w:p w14:paraId="5A704BD8" w14:textId="77777777" w:rsidR="0083403F" w:rsidRPr="00374031" w:rsidRDefault="0083403F" w:rsidP="0083403F">
      <w:pPr>
        <w:widowControl w:val="0"/>
        <w:overflowPunct w:val="0"/>
        <w:autoSpaceDE w:val="0"/>
        <w:autoSpaceDN w:val="0"/>
        <w:adjustRightInd w:val="0"/>
        <w:spacing w:line="249" w:lineRule="auto"/>
        <w:ind w:right="40"/>
        <w:rPr>
          <w:rFonts w:ascii="Arial" w:hAnsi="Arial" w:cs="Arial"/>
          <w:b/>
          <w:bCs/>
          <w:sz w:val="20"/>
          <w:szCs w:val="20"/>
        </w:rPr>
      </w:pPr>
    </w:p>
    <w:p w14:paraId="59494647" w14:textId="68538FDF" w:rsidR="0083403F" w:rsidRPr="00450996" w:rsidRDefault="0083403F" w:rsidP="00450996">
      <w:r w:rsidRPr="00374031">
        <w:t>FPH does not require or solicit prepayment of more than $500 in fees per client, six months or more in advance.</w:t>
      </w:r>
      <w:r w:rsidR="00450996">
        <w:t xml:space="preserve"> </w:t>
      </w:r>
      <w:r w:rsidRPr="00374031">
        <w:t>FPH does not anticipate any financial condition that may be reasonably likely to impair its ability to meet contractual commitments to clients at this time.</w:t>
      </w:r>
    </w:p>
    <w:p w14:paraId="0559E444" w14:textId="77777777" w:rsidR="0083403F" w:rsidRPr="00374031" w:rsidRDefault="0083403F" w:rsidP="00450996">
      <w:pPr>
        <w:rPr>
          <w:rFonts w:ascii="Times New Roman" w:hAnsi="Times New Roman"/>
          <w:szCs w:val="24"/>
        </w:rPr>
      </w:pPr>
    </w:p>
    <w:p w14:paraId="6496B0C2" w14:textId="67653D6E" w:rsidR="0083403F" w:rsidRPr="00374031" w:rsidRDefault="0083403F" w:rsidP="00450996">
      <w:r w:rsidRPr="00374031">
        <w:t>FPH has not been the subject of a bankruptcy petition during the past ten years.</w:t>
      </w:r>
    </w:p>
    <w:p w14:paraId="5999E38E" w14:textId="77777777" w:rsidR="0083403F" w:rsidRPr="0083403F" w:rsidRDefault="0083403F" w:rsidP="0083403F">
      <w:pPr>
        <w:widowControl w:val="0"/>
        <w:overflowPunct w:val="0"/>
        <w:autoSpaceDE w:val="0"/>
        <w:autoSpaceDN w:val="0"/>
        <w:adjustRightInd w:val="0"/>
        <w:spacing w:line="249" w:lineRule="auto"/>
        <w:ind w:right="40"/>
        <w:rPr>
          <w:rFonts w:ascii="Arial" w:hAnsi="Arial" w:cs="Arial"/>
          <w:sz w:val="20"/>
          <w:szCs w:val="20"/>
        </w:rPr>
      </w:pPr>
    </w:p>
    <w:p w14:paraId="1AD85A94" w14:textId="5A6E1262" w:rsidR="00D14AD1" w:rsidRPr="00BA69CA" w:rsidRDefault="00E94B7A" w:rsidP="00E94B7A">
      <w:pPr>
        <w:pStyle w:val="Heading1"/>
        <w:rPr>
          <w:rFonts w:ascii="Times New Roman" w:hAnsi="Times New Roman"/>
        </w:rPr>
      </w:pPr>
      <w:bookmarkStart w:id="27" w:name="_Toc208132681"/>
      <w:r>
        <w:t xml:space="preserve">Item 19 - </w:t>
      </w:r>
      <w:r w:rsidR="00D14AD1" w:rsidRPr="00BA69CA">
        <w:t>Requirements for State-Registered Advisers</w:t>
      </w:r>
      <w:bookmarkEnd w:id="27"/>
    </w:p>
    <w:p w14:paraId="7917B2DC" w14:textId="77777777" w:rsidR="00D14AD1" w:rsidRPr="00BA69CA" w:rsidRDefault="00D14AD1" w:rsidP="00D14AD1">
      <w:pPr>
        <w:widowControl w:val="0"/>
        <w:autoSpaceDE w:val="0"/>
        <w:autoSpaceDN w:val="0"/>
        <w:adjustRightInd w:val="0"/>
        <w:spacing w:line="264" w:lineRule="exact"/>
        <w:rPr>
          <w:rFonts w:ascii="Times New Roman" w:hAnsi="Times New Roman"/>
          <w:szCs w:val="24"/>
        </w:rPr>
      </w:pPr>
      <w:r w:rsidRPr="00BA69CA">
        <w:rPr>
          <w:noProof/>
        </w:rPr>
        <mc:AlternateContent>
          <mc:Choice Requires="wps">
            <w:drawing>
              <wp:anchor distT="0" distB="0" distL="114300" distR="114300" simplePos="0" relativeHeight="251677696" behindDoc="1" locked="0" layoutInCell="0" allowOverlap="1" wp14:anchorId="05CFBE67" wp14:editId="0DC8394E">
                <wp:simplePos x="0" y="0"/>
                <wp:positionH relativeFrom="column">
                  <wp:posOffset>-19050</wp:posOffset>
                </wp:positionH>
                <wp:positionV relativeFrom="paragraph">
                  <wp:posOffset>27940</wp:posOffset>
                </wp:positionV>
                <wp:extent cx="5981700" cy="0"/>
                <wp:effectExtent l="0" t="0" r="0" b="0"/>
                <wp:wrapNone/>
                <wp:docPr id="8"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89533A" id="Line 22"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UhrwEAAEgDAAAOAAAAZHJzL2Uyb0RvYy54bWysU8Fu2zAMvQ/YPwi6L3YKLGuNOD2k6y7d&#10;FqDdBzCSbAuTRYFUYufvJ6lJVmy3YT4Ikkg+vfdIr+/n0YmjIbboW7lc1FIYr1Bb37fyx8vjh1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X68u11+qlNP&#10;1CVWQXMpDMTxi8FR5E0rnfXZB2jg+MQxE4HmkpKvPT5a50ovnRdTK1f13aoUMDqrczCnMfX7rSNx&#10;hDwN5SuqUuRtGuHB6wI2GNCfz/sI1r3u0+POn83I+vOwcbNHfdrRxaTUrsLyPFp5Ht6eS/XvH2Dz&#10;CwAA//8DAFBLAwQUAAYACAAAACEA6bf98NwAAAAGAQAADwAAAGRycy9kb3ducmV2LnhtbEyPy07D&#10;MBBF90j9B2sqsWsdaAVJiFMhEEhdoKoPsXbjIQmJx1HsNunfM7Chy6M7uvdMthptK87Y+9qRgrt5&#10;BAKpcKamUsFh/zaLQfigyejWESq4oIdVPrnJdGrcQFs870IpuIR8qhVUIXSplL6o0Go/dx0SZ1+u&#10;tzow9qU0vR643LbyPooepNU18UKlO3ypsGh2J6vgI5avbtN8FpfvYf8ex+smeVwflLqdjs9PIAKO&#10;4f8YfvVZHXJ2OroTGS9aBbMFvxIULJcgOE4WCfPxj2WeyWv9/AcAAP//AwBQSwECLQAUAAYACAAA&#10;ACEAtoM4kv4AAADhAQAAEwAAAAAAAAAAAAAAAAAAAAAAW0NvbnRlbnRfVHlwZXNdLnhtbFBLAQIt&#10;ABQABgAIAAAAIQA4/SH/1gAAAJQBAAALAAAAAAAAAAAAAAAAAC8BAABfcmVscy8ucmVsc1BLAQIt&#10;ABQABgAIAAAAIQD/NAUhrwEAAEgDAAAOAAAAAAAAAAAAAAAAAC4CAABkcnMvZTJvRG9jLnhtbFBL&#10;AQItABQABgAIAAAAIQDpt/3w3AAAAAYBAAAPAAAAAAAAAAAAAAAAAAkEAABkcnMvZG93bnJldi54&#10;bWxQSwUGAAAAAAQABADzAAAAEgUAAAAA&#10;" o:allowincell="f" strokeweight=".48pt"/>
            </w:pict>
          </mc:Fallback>
        </mc:AlternateContent>
      </w:r>
    </w:p>
    <w:p w14:paraId="1B321CB2" w14:textId="77777777" w:rsidR="00D439C7" w:rsidRPr="00450996" w:rsidRDefault="00D439C7" w:rsidP="00D439C7">
      <w:pPr>
        <w:widowControl w:val="0"/>
        <w:autoSpaceDE w:val="0"/>
        <w:autoSpaceDN w:val="0"/>
        <w:adjustRightInd w:val="0"/>
        <w:spacing w:line="226" w:lineRule="exact"/>
        <w:rPr>
          <w:rFonts w:cs="Arial"/>
          <w:szCs w:val="24"/>
          <w:u w:val="single"/>
        </w:rPr>
      </w:pPr>
      <w:r w:rsidRPr="00450996">
        <w:rPr>
          <w:rFonts w:cs="Arial"/>
          <w:szCs w:val="24"/>
          <w:u w:val="single"/>
        </w:rPr>
        <w:t>Executive Officers and Management Persons</w:t>
      </w:r>
    </w:p>
    <w:p w14:paraId="72DEECBE" w14:textId="77777777" w:rsidR="00D439C7" w:rsidRPr="00450996" w:rsidRDefault="00D439C7" w:rsidP="00D439C7">
      <w:pPr>
        <w:widowControl w:val="0"/>
        <w:autoSpaceDE w:val="0"/>
        <w:autoSpaceDN w:val="0"/>
        <w:adjustRightInd w:val="0"/>
        <w:spacing w:line="226" w:lineRule="exact"/>
        <w:rPr>
          <w:rFonts w:cs="Arial"/>
          <w:szCs w:val="24"/>
        </w:rPr>
      </w:pPr>
    </w:p>
    <w:p w14:paraId="6C83913C" w14:textId="393172BA" w:rsidR="00D439C7" w:rsidRPr="00450996" w:rsidRDefault="00D439C7" w:rsidP="00D439C7">
      <w:pPr>
        <w:widowControl w:val="0"/>
        <w:autoSpaceDE w:val="0"/>
        <w:autoSpaceDN w:val="0"/>
        <w:adjustRightInd w:val="0"/>
        <w:spacing w:line="226" w:lineRule="exact"/>
        <w:rPr>
          <w:rFonts w:cs="Arial"/>
          <w:szCs w:val="24"/>
        </w:rPr>
      </w:pPr>
      <w:r w:rsidRPr="00450996">
        <w:rPr>
          <w:rFonts w:cs="Arial"/>
          <w:szCs w:val="24"/>
        </w:rPr>
        <w:t xml:space="preserve">Financial Planning Hawaii is owned and operated by John Robinson. Further information on his business and educational background can be found in </w:t>
      </w:r>
      <w:r w:rsidR="00020C7C" w:rsidRPr="00450996">
        <w:rPr>
          <w:rFonts w:cs="Arial"/>
          <w:szCs w:val="24"/>
        </w:rPr>
        <w:t>Part</w:t>
      </w:r>
      <w:r w:rsidRPr="00450996">
        <w:rPr>
          <w:rFonts w:cs="Arial"/>
          <w:szCs w:val="24"/>
        </w:rPr>
        <w:t xml:space="preserve"> 2B of this brochure.</w:t>
      </w:r>
    </w:p>
    <w:p w14:paraId="0E841676" w14:textId="77777777" w:rsidR="00D439C7" w:rsidRPr="00450996" w:rsidRDefault="00D439C7" w:rsidP="00D439C7">
      <w:pPr>
        <w:widowControl w:val="0"/>
        <w:autoSpaceDE w:val="0"/>
        <w:autoSpaceDN w:val="0"/>
        <w:adjustRightInd w:val="0"/>
        <w:spacing w:line="226" w:lineRule="exact"/>
        <w:rPr>
          <w:rFonts w:cs="Arial"/>
          <w:szCs w:val="24"/>
        </w:rPr>
      </w:pPr>
    </w:p>
    <w:p w14:paraId="0E6789F6" w14:textId="77777777" w:rsidR="00D439C7" w:rsidRPr="00450996" w:rsidRDefault="00D439C7" w:rsidP="00D439C7">
      <w:pPr>
        <w:widowControl w:val="0"/>
        <w:autoSpaceDE w:val="0"/>
        <w:autoSpaceDN w:val="0"/>
        <w:adjustRightInd w:val="0"/>
        <w:spacing w:line="226" w:lineRule="exact"/>
        <w:rPr>
          <w:rFonts w:cs="Arial"/>
          <w:szCs w:val="24"/>
          <w:u w:val="single"/>
        </w:rPr>
      </w:pPr>
      <w:r w:rsidRPr="00450996">
        <w:rPr>
          <w:rFonts w:cs="Arial"/>
          <w:szCs w:val="24"/>
          <w:u w:val="single"/>
        </w:rPr>
        <w:t>Outside Business Activities</w:t>
      </w:r>
    </w:p>
    <w:p w14:paraId="4E1B4530" w14:textId="77777777" w:rsidR="00D439C7" w:rsidRPr="00450996" w:rsidRDefault="00D439C7" w:rsidP="00D439C7">
      <w:pPr>
        <w:widowControl w:val="0"/>
        <w:autoSpaceDE w:val="0"/>
        <w:autoSpaceDN w:val="0"/>
        <w:adjustRightInd w:val="0"/>
        <w:spacing w:line="226" w:lineRule="exact"/>
        <w:rPr>
          <w:rFonts w:cs="Arial"/>
          <w:szCs w:val="24"/>
        </w:rPr>
      </w:pPr>
    </w:p>
    <w:p w14:paraId="2AF602AD" w14:textId="346DB54C" w:rsidR="00D439C7" w:rsidRPr="00450996" w:rsidRDefault="00D439C7" w:rsidP="00D439C7">
      <w:pPr>
        <w:widowControl w:val="0"/>
        <w:autoSpaceDE w:val="0"/>
        <w:autoSpaceDN w:val="0"/>
        <w:adjustRightInd w:val="0"/>
        <w:spacing w:line="226" w:lineRule="exact"/>
        <w:rPr>
          <w:rFonts w:cs="Arial"/>
          <w:szCs w:val="24"/>
        </w:rPr>
      </w:pPr>
      <w:r w:rsidRPr="00450996">
        <w:rPr>
          <w:rFonts w:cs="Arial"/>
          <w:szCs w:val="24"/>
        </w:rPr>
        <w:t>The outside business activities of John Robinson are discussed in Item 10 above.</w:t>
      </w:r>
    </w:p>
    <w:p w14:paraId="6FD0F860" w14:textId="77777777" w:rsidR="00230F0D" w:rsidRPr="00450996" w:rsidRDefault="00230F0D" w:rsidP="00D439C7">
      <w:pPr>
        <w:widowControl w:val="0"/>
        <w:autoSpaceDE w:val="0"/>
        <w:autoSpaceDN w:val="0"/>
        <w:adjustRightInd w:val="0"/>
        <w:spacing w:line="226" w:lineRule="exact"/>
        <w:rPr>
          <w:rFonts w:cs="Arial"/>
          <w:szCs w:val="24"/>
        </w:rPr>
      </w:pPr>
    </w:p>
    <w:p w14:paraId="4C3225D5" w14:textId="3E890E4A" w:rsidR="00D439C7" w:rsidRPr="00450996" w:rsidRDefault="00D439C7" w:rsidP="00D439C7">
      <w:pPr>
        <w:widowControl w:val="0"/>
        <w:autoSpaceDE w:val="0"/>
        <w:autoSpaceDN w:val="0"/>
        <w:adjustRightInd w:val="0"/>
        <w:spacing w:line="226" w:lineRule="exact"/>
        <w:rPr>
          <w:rFonts w:cs="Arial"/>
          <w:szCs w:val="24"/>
          <w:u w:val="single"/>
        </w:rPr>
      </w:pPr>
      <w:r w:rsidRPr="00450996">
        <w:rPr>
          <w:rFonts w:cs="Arial"/>
          <w:szCs w:val="24"/>
          <w:u w:val="single"/>
        </w:rPr>
        <w:t>Performance Based Fees</w:t>
      </w:r>
    </w:p>
    <w:p w14:paraId="12231309" w14:textId="77777777" w:rsidR="00D439C7" w:rsidRPr="00450996" w:rsidRDefault="00D439C7" w:rsidP="00D439C7">
      <w:pPr>
        <w:widowControl w:val="0"/>
        <w:autoSpaceDE w:val="0"/>
        <w:autoSpaceDN w:val="0"/>
        <w:adjustRightInd w:val="0"/>
        <w:spacing w:line="226" w:lineRule="exact"/>
        <w:rPr>
          <w:rFonts w:cs="Arial"/>
          <w:szCs w:val="24"/>
        </w:rPr>
      </w:pPr>
    </w:p>
    <w:p w14:paraId="50C85C55" w14:textId="5F58049E" w:rsidR="00230F0D" w:rsidRPr="00450996" w:rsidRDefault="00D439C7" w:rsidP="00D439C7">
      <w:pPr>
        <w:widowControl w:val="0"/>
        <w:autoSpaceDE w:val="0"/>
        <w:autoSpaceDN w:val="0"/>
        <w:adjustRightInd w:val="0"/>
        <w:spacing w:line="226" w:lineRule="exact"/>
        <w:rPr>
          <w:rFonts w:cs="Arial"/>
          <w:szCs w:val="24"/>
        </w:rPr>
      </w:pPr>
      <w:r w:rsidRPr="00450996">
        <w:rPr>
          <w:rFonts w:cs="Arial"/>
          <w:szCs w:val="24"/>
        </w:rPr>
        <w:t xml:space="preserve">Neither the firm, its management persons, </w:t>
      </w:r>
      <w:r w:rsidR="00020C7C" w:rsidRPr="00450996">
        <w:rPr>
          <w:rFonts w:cs="Arial"/>
          <w:szCs w:val="24"/>
        </w:rPr>
        <w:t>nor</w:t>
      </w:r>
      <w:r w:rsidRPr="00450996">
        <w:rPr>
          <w:rFonts w:cs="Arial"/>
          <w:szCs w:val="24"/>
        </w:rPr>
        <w:t xml:space="preserve"> investment adviser representatives receive performance-based fees.</w:t>
      </w:r>
    </w:p>
    <w:p w14:paraId="3FD6DD47" w14:textId="77777777" w:rsidR="00230F0D" w:rsidRPr="00450996" w:rsidRDefault="00230F0D" w:rsidP="00D439C7">
      <w:pPr>
        <w:widowControl w:val="0"/>
        <w:autoSpaceDE w:val="0"/>
        <w:autoSpaceDN w:val="0"/>
        <w:adjustRightInd w:val="0"/>
        <w:spacing w:line="226" w:lineRule="exact"/>
        <w:rPr>
          <w:rFonts w:cs="Arial"/>
          <w:szCs w:val="24"/>
        </w:rPr>
      </w:pPr>
    </w:p>
    <w:p w14:paraId="14498861" w14:textId="318B15FA" w:rsidR="00D439C7" w:rsidRPr="00450996" w:rsidRDefault="00D439C7" w:rsidP="00D439C7">
      <w:pPr>
        <w:widowControl w:val="0"/>
        <w:autoSpaceDE w:val="0"/>
        <w:autoSpaceDN w:val="0"/>
        <w:adjustRightInd w:val="0"/>
        <w:spacing w:line="226" w:lineRule="exact"/>
        <w:rPr>
          <w:rFonts w:cs="Arial"/>
          <w:szCs w:val="24"/>
          <w:u w:val="single"/>
        </w:rPr>
      </w:pPr>
      <w:r w:rsidRPr="00450996">
        <w:rPr>
          <w:rFonts w:cs="Arial"/>
          <w:szCs w:val="24"/>
          <w:u w:val="single"/>
        </w:rPr>
        <w:t>Disclosure of Material Facts Related to Arbitration or Disciplinary Actions</w:t>
      </w:r>
    </w:p>
    <w:p w14:paraId="2E24303F" w14:textId="77777777" w:rsidR="00D439C7" w:rsidRPr="00450996" w:rsidRDefault="00D439C7" w:rsidP="00D439C7">
      <w:pPr>
        <w:widowControl w:val="0"/>
        <w:autoSpaceDE w:val="0"/>
        <w:autoSpaceDN w:val="0"/>
        <w:adjustRightInd w:val="0"/>
        <w:spacing w:line="226" w:lineRule="exact"/>
        <w:rPr>
          <w:rFonts w:cs="Arial"/>
          <w:szCs w:val="24"/>
        </w:rPr>
      </w:pPr>
    </w:p>
    <w:p w14:paraId="6401B100" w14:textId="6E2FFD55" w:rsidR="00D439C7" w:rsidRPr="00450996" w:rsidRDefault="00D439C7" w:rsidP="00D439C7">
      <w:pPr>
        <w:widowControl w:val="0"/>
        <w:autoSpaceDE w:val="0"/>
        <w:autoSpaceDN w:val="0"/>
        <w:adjustRightInd w:val="0"/>
        <w:spacing w:line="226" w:lineRule="exact"/>
        <w:rPr>
          <w:rFonts w:cs="Arial"/>
          <w:szCs w:val="24"/>
        </w:rPr>
      </w:pPr>
      <w:r w:rsidRPr="00450996">
        <w:rPr>
          <w:rFonts w:cs="Arial"/>
          <w:szCs w:val="24"/>
        </w:rPr>
        <w:lastRenderedPageBreak/>
        <w:t xml:space="preserve">Neither the firm </w:t>
      </w:r>
      <w:r w:rsidR="00450996" w:rsidRPr="00450996">
        <w:rPr>
          <w:rFonts w:cs="Arial"/>
          <w:szCs w:val="24"/>
        </w:rPr>
        <w:t>nor</w:t>
      </w:r>
      <w:r w:rsidRPr="00450996">
        <w:rPr>
          <w:rFonts w:cs="Arial"/>
          <w:szCs w:val="24"/>
        </w:rPr>
        <w:t xml:space="preserve"> its </w:t>
      </w:r>
      <w:proofErr w:type="gramStart"/>
      <w:r w:rsidRPr="00450996">
        <w:rPr>
          <w:rFonts w:cs="Arial"/>
          <w:szCs w:val="24"/>
        </w:rPr>
        <w:t>management persons</w:t>
      </w:r>
      <w:proofErr w:type="gramEnd"/>
      <w:r w:rsidRPr="00450996">
        <w:rPr>
          <w:rFonts w:cs="Arial"/>
          <w:szCs w:val="24"/>
        </w:rPr>
        <w:t xml:space="preserve"> have been found liable in any civil, self-regulatory organization, administrative proceeding, or arbitration.</w:t>
      </w:r>
    </w:p>
    <w:p w14:paraId="5EC2844D" w14:textId="77777777" w:rsidR="00D439C7" w:rsidRPr="00450996" w:rsidRDefault="00D439C7" w:rsidP="00D439C7">
      <w:pPr>
        <w:widowControl w:val="0"/>
        <w:autoSpaceDE w:val="0"/>
        <w:autoSpaceDN w:val="0"/>
        <w:adjustRightInd w:val="0"/>
        <w:spacing w:line="226" w:lineRule="exact"/>
        <w:rPr>
          <w:rFonts w:cs="Arial"/>
          <w:szCs w:val="24"/>
        </w:rPr>
      </w:pPr>
    </w:p>
    <w:p w14:paraId="2FF03CF2" w14:textId="77777777" w:rsidR="00D439C7" w:rsidRPr="00450996" w:rsidRDefault="00D439C7" w:rsidP="00D439C7">
      <w:pPr>
        <w:widowControl w:val="0"/>
        <w:autoSpaceDE w:val="0"/>
        <w:autoSpaceDN w:val="0"/>
        <w:adjustRightInd w:val="0"/>
        <w:spacing w:line="226" w:lineRule="exact"/>
        <w:rPr>
          <w:rFonts w:cs="Arial"/>
          <w:szCs w:val="24"/>
          <w:u w:val="single"/>
        </w:rPr>
      </w:pPr>
      <w:r w:rsidRPr="00450996">
        <w:rPr>
          <w:rFonts w:cs="Arial"/>
          <w:szCs w:val="24"/>
          <w:u w:val="single"/>
        </w:rPr>
        <w:t>Material Relationship Maintained by this Advisory Business or Management</w:t>
      </w:r>
    </w:p>
    <w:p w14:paraId="2E5ED1A1" w14:textId="77777777" w:rsidR="00D439C7" w:rsidRPr="00450996" w:rsidRDefault="00D439C7" w:rsidP="00D439C7">
      <w:pPr>
        <w:widowControl w:val="0"/>
        <w:autoSpaceDE w:val="0"/>
        <w:autoSpaceDN w:val="0"/>
        <w:adjustRightInd w:val="0"/>
        <w:spacing w:line="226" w:lineRule="exact"/>
        <w:rPr>
          <w:rFonts w:cs="Arial"/>
          <w:szCs w:val="24"/>
          <w:u w:val="single"/>
        </w:rPr>
      </w:pPr>
      <w:proofErr w:type="gramStart"/>
      <w:r w:rsidRPr="00450996">
        <w:rPr>
          <w:rFonts w:cs="Arial"/>
          <w:szCs w:val="24"/>
          <w:u w:val="single"/>
        </w:rPr>
        <w:t>Persons</w:t>
      </w:r>
      <w:proofErr w:type="gramEnd"/>
      <w:r w:rsidRPr="00450996">
        <w:rPr>
          <w:rFonts w:cs="Arial"/>
          <w:szCs w:val="24"/>
          <w:u w:val="single"/>
        </w:rPr>
        <w:t xml:space="preserve"> with Issuers of Securities</w:t>
      </w:r>
    </w:p>
    <w:p w14:paraId="1431A6D6" w14:textId="77777777" w:rsidR="00D439C7" w:rsidRPr="00450996" w:rsidRDefault="00D439C7" w:rsidP="00D439C7">
      <w:pPr>
        <w:widowControl w:val="0"/>
        <w:autoSpaceDE w:val="0"/>
        <w:autoSpaceDN w:val="0"/>
        <w:adjustRightInd w:val="0"/>
        <w:spacing w:line="226" w:lineRule="exact"/>
        <w:rPr>
          <w:rFonts w:cs="Arial"/>
          <w:szCs w:val="24"/>
        </w:rPr>
      </w:pPr>
    </w:p>
    <w:p w14:paraId="069CCC6F" w14:textId="73A6C5C7" w:rsidR="008C57A1" w:rsidRDefault="00D439C7" w:rsidP="00D439C7">
      <w:pPr>
        <w:widowControl w:val="0"/>
        <w:autoSpaceDE w:val="0"/>
        <w:autoSpaceDN w:val="0"/>
        <w:adjustRightInd w:val="0"/>
        <w:spacing w:line="226" w:lineRule="exact"/>
        <w:rPr>
          <w:rFonts w:cs="Arial"/>
          <w:szCs w:val="24"/>
        </w:rPr>
      </w:pPr>
      <w:r w:rsidRPr="00450996">
        <w:rPr>
          <w:rFonts w:cs="Arial"/>
          <w:szCs w:val="24"/>
        </w:rPr>
        <w:t xml:space="preserve">Neither the firm </w:t>
      </w:r>
      <w:r w:rsidR="00450996" w:rsidRPr="00450996">
        <w:rPr>
          <w:rFonts w:cs="Arial"/>
          <w:szCs w:val="24"/>
        </w:rPr>
        <w:t>nor</w:t>
      </w:r>
      <w:r w:rsidRPr="00450996">
        <w:rPr>
          <w:rFonts w:cs="Arial"/>
          <w:szCs w:val="24"/>
        </w:rPr>
        <w:t xml:space="preserve"> its </w:t>
      </w:r>
      <w:proofErr w:type="gramStart"/>
      <w:r w:rsidRPr="00450996">
        <w:rPr>
          <w:rFonts w:cs="Arial"/>
          <w:szCs w:val="24"/>
        </w:rPr>
        <w:t>management persons</w:t>
      </w:r>
      <w:proofErr w:type="gramEnd"/>
      <w:r w:rsidRPr="00450996">
        <w:rPr>
          <w:rFonts w:cs="Arial"/>
          <w:szCs w:val="24"/>
        </w:rPr>
        <w:t xml:space="preserve"> have any material relationships or arrangements with any issuer of securities</w:t>
      </w:r>
      <w:r w:rsidR="00C6649B" w:rsidRPr="00450996">
        <w:rPr>
          <w:rFonts w:cs="Arial"/>
          <w:szCs w:val="24"/>
        </w:rPr>
        <w:t>.</w:t>
      </w:r>
    </w:p>
    <w:p w14:paraId="5FFE6BBC" w14:textId="77777777" w:rsidR="008C57A1" w:rsidRDefault="008C57A1">
      <w:pPr>
        <w:rPr>
          <w:rFonts w:cs="Arial"/>
          <w:szCs w:val="24"/>
        </w:rPr>
      </w:pPr>
      <w:r>
        <w:rPr>
          <w:rFonts w:cs="Arial"/>
          <w:szCs w:val="24"/>
        </w:rPr>
        <w:br w:type="page"/>
      </w:r>
    </w:p>
    <w:p w14:paraId="79D0319E" w14:textId="77777777" w:rsidR="001B6454" w:rsidRPr="00BA69CA" w:rsidRDefault="00184969" w:rsidP="00B039AB">
      <w:pPr>
        <w:pStyle w:val="Heading1"/>
        <w:rPr>
          <w:rFonts w:ascii="Times New Roman" w:hAnsi="Times New Roman"/>
        </w:rPr>
      </w:pPr>
      <w:bookmarkStart w:id="28" w:name="_Toc208132682"/>
      <w:r w:rsidRPr="00BA69CA">
        <w:lastRenderedPageBreak/>
        <w:t>Privacy Policy</w:t>
      </w:r>
      <w:bookmarkEnd w:id="28"/>
    </w:p>
    <w:p w14:paraId="430C7342" w14:textId="77777777" w:rsidR="001B6454" w:rsidRPr="00BA69CA" w:rsidRDefault="00F03077">
      <w:pPr>
        <w:widowControl w:val="0"/>
        <w:autoSpaceDE w:val="0"/>
        <w:autoSpaceDN w:val="0"/>
        <w:adjustRightInd w:val="0"/>
        <w:spacing w:line="309" w:lineRule="exact"/>
        <w:rPr>
          <w:rFonts w:ascii="Times New Roman" w:hAnsi="Times New Roman"/>
          <w:szCs w:val="24"/>
        </w:rPr>
      </w:pPr>
      <w:r w:rsidRPr="00BA69CA">
        <w:rPr>
          <w:noProof/>
        </w:rPr>
        <mc:AlternateContent>
          <mc:Choice Requires="wps">
            <w:drawing>
              <wp:anchor distT="0" distB="0" distL="114300" distR="114300" simplePos="0" relativeHeight="251665408" behindDoc="1" locked="0" layoutInCell="0" allowOverlap="1" wp14:anchorId="554B2E8A" wp14:editId="40454FBB">
                <wp:simplePos x="0" y="0"/>
                <wp:positionH relativeFrom="column">
                  <wp:posOffset>-19050</wp:posOffset>
                </wp:positionH>
                <wp:positionV relativeFrom="paragraph">
                  <wp:posOffset>27940</wp:posOffset>
                </wp:positionV>
                <wp:extent cx="5981700" cy="0"/>
                <wp:effectExtent l="0" t="0" r="0" b="0"/>
                <wp:wrapNone/>
                <wp:docPr id="7"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81700" cy="0"/>
                        </a:xfrm>
                        <a:prstGeom prst="line">
                          <a:avLst/>
                        </a:prstGeom>
                        <a:noFill/>
                        <a:ln w="609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ACF526" id="Line 23"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pt,2.2pt" to="46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rMSasAEAAEgDAAAOAAAAZHJzL2Uyb0RvYy54bWysU8Fu2zAMvQ/YPwi6L3YKtGuNOD2k6y7d&#10;FqDdBzCSbAuTRYFUYufvJ6lJWmy3YT4Ikkg+vfdIr+7n0YmDIbboW7lc1FIYr1Bb37fy58vjp1sp&#10;OILX4NCbVh4Ny/v1xw+rKTTmCgd02pBIIJ6bKbRyiDE0VcVqMCPwAoPxKdghjRDTkfpKE0wJfXTV&#10;VV3fVBOSDoTKMKfbh9egXBf8rjMq/ug6NlG4ViZusaxU1l1eq/UKmp4gDFadaMA/sBjB+vToBeoB&#10;Iog92b+gRqsIGbu4UDhW2HVWmaIhqVnWf6h5HiCYoiWZw+FiE/8/WPX9sPFbytTV7J/DE6pfLDxu&#10;BvC9KQRejiE1bpmtqqbAzaUkHzhsSeymb6hTDuwjFhfmjsYMmfSJuZh9vJht5ihUury+u11+rlNP&#10;1DlWQXMuDMTxq8FR5E0rnfXZB2jg8MQxE4HmnJKvPT5a50ovnRdTK2/qu+tSwOiszsGcxtTvNo7E&#10;AfI0lK+oSpH3aYR7rwvYYEB/Oe0jWPe6T487fzIj68/Dxs0O9XFLZ5NSuwrL02jleXh/LtVvP8D6&#10;NwAAAP//AwBQSwMEFAAGAAgAAAAhAIaGZXbZAAAABgEAAA8AAABkcnMvZG93bnJldi54bWxMj8tO&#10;wzAQRfdI/IM1SGxQ64RWQEOcCip1yYICezceYlM/oozThr9nYEOXR3d075l6PQUvjjiQS1FBOS9A&#10;YGyTcbFT8P62nT2AoKyj0T5FVPCNBOvm8qLWlUmn+IrHXe4El0SqtAKbc19JSa3FoGmeeoycfaYh&#10;6Mw4dNIM+sTlwcvboriTQbvIC1b3uLHYHnZjUOC+BiLbls8l+cN2czN6d//yodT11fT0CCLjlP+P&#10;4Vef1aFhp30aoyHhFcwW/EpWsFyC4Hi1WDHv/1g2tTzXb34AAAD//wMAUEsBAi0AFAAGAAgAAAAh&#10;ALaDOJL+AAAA4QEAABMAAAAAAAAAAAAAAAAAAAAAAFtDb250ZW50X1R5cGVzXS54bWxQSwECLQAU&#10;AAYACAAAACEAOP0h/9YAAACUAQAACwAAAAAAAAAAAAAAAAAvAQAAX3JlbHMvLnJlbHNQSwECLQAU&#10;AAYACAAAACEAB6zEmrABAABIAwAADgAAAAAAAAAAAAAAAAAuAgAAZHJzL2Uyb0RvYy54bWxQSwEC&#10;LQAUAAYACAAAACEAhoZldtkAAAAGAQAADwAAAAAAAAAAAAAAAAAKBAAAZHJzL2Rvd25yZXYueG1s&#10;UEsFBgAAAAAEAAQA8wAAABAFAAAAAA==&#10;" o:allowincell="f" strokeweight=".16931mm"/>
            </w:pict>
          </mc:Fallback>
        </mc:AlternateContent>
      </w:r>
    </w:p>
    <w:p w14:paraId="4FAE845E" w14:textId="77777777" w:rsidR="001B6454" w:rsidRPr="001A0D86" w:rsidRDefault="00184969" w:rsidP="001A0D86">
      <w:pPr>
        <w:rPr>
          <w:rFonts w:ascii="Times New Roman" w:hAnsi="Times New Roman"/>
          <w:szCs w:val="24"/>
          <w:u w:val="single"/>
        </w:rPr>
      </w:pPr>
      <w:r w:rsidRPr="001A0D86">
        <w:rPr>
          <w:u w:val="single"/>
        </w:rPr>
        <w:t>Privacy Policy Notice</w:t>
      </w:r>
    </w:p>
    <w:p w14:paraId="7518D85F" w14:textId="77777777" w:rsidR="001B6454" w:rsidRPr="00BA69CA" w:rsidRDefault="001B6454">
      <w:pPr>
        <w:widowControl w:val="0"/>
        <w:autoSpaceDE w:val="0"/>
        <w:autoSpaceDN w:val="0"/>
        <w:adjustRightInd w:val="0"/>
        <w:spacing w:line="230" w:lineRule="exact"/>
        <w:rPr>
          <w:rFonts w:ascii="Times New Roman" w:hAnsi="Times New Roman"/>
          <w:szCs w:val="24"/>
        </w:rPr>
      </w:pPr>
    </w:p>
    <w:p w14:paraId="03572478" w14:textId="77777777" w:rsidR="001B6454" w:rsidRPr="001A0D86" w:rsidRDefault="00184969">
      <w:pPr>
        <w:widowControl w:val="0"/>
        <w:overflowPunct w:val="0"/>
        <w:autoSpaceDE w:val="0"/>
        <w:autoSpaceDN w:val="0"/>
        <w:adjustRightInd w:val="0"/>
        <w:spacing w:line="258" w:lineRule="auto"/>
        <w:ind w:right="280"/>
        <w:jc w:val="both"/>
        <w:rPr>
          <w:szCs w:val="24"/>
        </w:rPr>
      </w:pPr>
      <w:r w:rsidRPr="001A0D86">
        <w:rPr>
          <w:rFonts w:cs="Arial"/>
          <w:szCs w:val="24"/>
        </w:rPr>
        <w:t>Your privacy is important to us. Your personal information is kept secure. Under federal and state law, you have a right to know what information is being collected about you and how that information will be used. FPH collects nonpublic personal information about you from the following sources:</w:t>
      </w:r>
    </w:p>
    <w:p w14:paraId="411ECAA3" w14:textId="77777777" w:rsidR="001B6454" w:rsidRPr="001A0D86" w:rsidRDefault="001B6454">
      <w:pPr>
        <w:widowControl w:val="0"/>
        <w:autoSpaceDE w:val="0"/>
        <w:autoSpaceDN w:val="0"/>
        <w:adjustRightInd w:val="0"/>
        <w:spacing w:line="179" w:lineRule="exact"/>
        <w:rPr>
          <w:szCs w:val="24"/>
        </w:rPr>
      </w:pPr>
    </w:p>
    <w:p w14:paraId="5550AE26" w14:textId="77777777" w:rsidR="001B6454" w:rsidRPr="001A0D86" w:rsidRDefault="00184969" w:rsidP="001A0D86">
      <w:pPr>
        <w:pStyle w:val="ListParagraph"/>
        <w:widowControl w:val="0"/>
        <w:numPr>
          <w:ilvl w:val="0"/>
          <w:numId w:val="17"/>
        </w:numPr>
        <w:overflowPunct w:val="0"/>
        <w:autoSpaceDE w:val="0"/>
        <w:autoSpaceDN w:val="0"/>
        <w:adjustRightInd w:val="0"/>
        <w:jc w:val="both"/>
        <w:rPr>
          <w:rFonts w:cs="Symbol"/>
          <w:szCs w:val="24"/>
        </w:rPr>
      </w:pPr>
      <w:r w:rsidRPr="001A0D86">
        <w:rPr>
          <w:rFonts w:cs="Arial"/>
          <w:szCs w:val="24"/>
        </w:rPr>
        <w:t xml:space="preserve">Information FPH receives from you on applications or other forms. </w:t>
      </w:r>
    </w:p>
    <w:p w14:paraId="1335C6F7" w14:textId="77777777" w:rsidR="001B6454" w:rsidRPr="001A0D86" w:rsidRDefault="00184969" w:rsidP="001A0D86">
      <w:pPr>
        <w:pStyle w:val="ListParagraph"/>
        <w:widowControl w:val="0"/>
        <w:numPr>
          <w:ilvl w:val="0"/>
          <w:numId w:val="17"/>
        </w:numPr>
        <w:overflowPunct w:val="0"/>
        <w:autoSpaceDE w:val="0"/>
        <w:autoSpaceDN w:val="0"/>
        <w:adjustRightInd w:val="0"/>
        <w:spacing w:line="239" w:lineRule="auto"/>
        <w:jc w:val="both"/>
        <w:rPr>
          <w:rFonts w:cs="Symbol"/>
          <w:szCs w:val="24"/>
        </w:rPr>
      </w:pPr>
      <w:r w:rsidRPr="001A0D86">
        <w:rPr>
          <w:rFonts w:cs="Arial"/>
          <w:szCs w:val="24"/>
        </w:rPr>
        <w:t xml:space="preserve">Information about your transactions with FPH; and </w:t>
      </w:r>
    </w:p>
    <w:p w14:paraId="111EBF6F" w14:textId="77777777" w:rsidR="001B6454" w:rsidRPr="001A0D86" w:rsidRDefault="00184969" w:rsidP="001A0D86">
      <w:pPr>
        <w:pStyle w:val="ListParagraph"/>
        <w:widowControl w:val="0"/>
        <w:numPr>
          <w:ilvl w:val="0"/>
          <w:numId w:val="17"/>
        </w:numPr>
        <w:overflowPunct w:val="0"/>
        <w:autoSpaceDE w:val="0"/>
        <w:autoSpaceDN w:val="0"/>
        <w:adjustRightInd w:val="0"/>
        <w:jc w:val="both"/>
        <w:rPr>
          <w:rFonts w:cs="Symbol"/>
          <w:szCs w:val="24"/>
        </w:rPr>
      </w:pPr>
      <w:r w:rsidRPr="001A0D86">
        <w:rPr>
          <w:rFonts w:cs="Arial"/>
          <w:szCs w:val="24"/>
        </w:rPr>
        <w:t xml:space="preserve">Information that you specifically have had your other professional advisors forward to FPH. </w:t>
      </w:r>
    </w:p>
    <w:p w14:paraId="63A2C6A9" w14:textId="77777777" w:rsidR="001B6454" w:rsidRPr="001A0D86" w:rsidRDefault="001B6454">
      <w:pPr>
        <w:widowControl w:val="0"/>
        <w:autoSpaceDE w:val="0"/>
        <w:autoSpaceDN w:val="0"/>
        <w:adjustRightInd w:val="0"/>
        <w:spacing w:line="231" w:lineRule="exact"/>
        <w:rPr>
          <w:szCs w:val="24"/>
        </w:rPr>
      </w:pPr>
    </w:p>
    <w:p w14:paraId="76AC2A37" w14:textId="77777777" w:rsidR="007F6D6D" w:rsidRPr="001A0D86" w:rsidRDefault="007F6D6D" w:rsidP="007F6D6D">
      <w:pPr>
        <w:widowControl w:val="0"/>
        <w:autoSpaceDE w:val="0"/>
        <w:autoSpaceDN w:val="0"/>
        <w:adjustRightInd w:val="0"/>
        <w:rPr>
          <w:szCs w:val="24"/>
        </w:rPr>
        <w:sectPr w:rsidR="007F6D6D" w:rsidRPr="001A0D86" w:rsidSect="000E55D5">
          <w:pgSz w:w="12240" w:h="15840" w:code="1"/>
          <w:pgMar w:top="1424" w:right="1440" w:bottom="778" w:left="1440" w:header="720" w:footer="720" w:gutter="0"/>
          <w:cols w:space="720" w:equalWidth="0">
            <w:col w:w="9360"/>
          </w:cols>
          <w:noEndnote/>
        </w:sectPr>
      </w:pPr>
    </w:p>
    <w:p w14:paraId="45DC849B" w14:textId="77777777" w:rsidR="001B6454" w:rsidRPr="001A0D86" w:rsidRDefault="00184969">
      <w:pPr>
        <w:widowControl w:val="0"/>
        <w:overflowPunct w:val="0"/>
        <w:autoSpaceDE w:val="0"/>
        <w:autoSpaceDN w:val="0"/>
        <w:adjustRightInd w:val="0"/>
        <w:spacing w:line="275" w:lineRule="auto"/>
        <w:ind w:right="260"/>
        <w:rPr>
          <w:rFonts w:cs="Arial"/>
          <w:szCs w:val="24"/>
        </w:rPr>
      </w:pPr>
      <w:r w:rsidRPr="001A0D86">
        <w:rPr>
          <w:rFonts w:cs="Arial"/>
          <w:szCs w:val="24"/>
        </w:rPr>
        <w:t>FPH does not disclose any nonpublic personal information about our customers or former customers to anyone, except as permitted or required by law, or as directed by you:</w:t>
      </w:r>
    </w:p>
    <w:p w14:paraId="4477FD33" w14:textId="77777777" w:rsidR="001A0D86" w:rsidRDefault="001A0D86" w:rsidP="001A0D86">
      <w:pPr>
        <w:widowControl w:val="0"/>
        <w:overflowPunct w:val="0"/>
        <w:autoSpaceDE w:val="0"/>
        <w:autoSpaceDN w:val="0"/>
        <w:adjustRightInd w:val="0"/>
        <w:spacing w:line="239" w:lineRule="auto"/>
        <w:ind w:right="460"/>
        <w:rPr>
          <w:szCs w:val="24"/>
        </w:rPr>
      </w:pPr>
    </w:p>
    <w:p w14:paraId="52D15055" w14:textId="77777777" w:rsidR="001A0D86" w:rsidRPr="001A0D86" w:rsidRDefault="00184969" w:rsidP="001A0D86">
      <w:pPr>
        <w:pStyle w:val="ListParagraph"/>
        <w:widowControl w:val="0"/>
        <w:numPr>
          <w:ilvl w:val="0"/>
          <w:numId w:val="18"/>
        </w:numPr>
        <w:overflowPunct w:val="0"/>
        <w:autoSpaceDE w:val="0"/>
        <w:autoSpaceDN w:val="0"/>
        <w:adjustRightInd w:val="0"/>
        <w:spacing w:line="239" w:lineRule="auto"/>
        <w:ind w:right="460"/>
        <w:rPr>
          <w:rFonts w:cs="Symbol"/>
          <w:szCs w:val="24"/>
        </w:rPr>
      </w:pPr>
      <w:r w:rsidRPr="001A0D86">
        <w:rPr>
          <w:rFonts w:cs="Arial"/>
          <w:szCs w:val="24"/>
        </w:rPr>
        <w:t xml:space="preserve">Under law, the information FPH collects is provided to companies that perform support services on our behalf as necessary to </w:t>
      </w:r>
      <w:proofErr w:type="gramStart"/>
      <w:r w:rsidRPr="001A0D86">
        <w:rPr>
          <w:rFonts w:cs="Arial"/>
          <w:szCs w:val="24"/>
        </w:rPr>
        <w:t>effect</w:t>
      </w:r>
      <w:proofErr w:type="gramEnd"/>
      <w:r w:rsidRPr="001A0D86">
        <w:rPr>
          <w:rFonts w:cs="Arial"/>
          <w:szCs w:val="24"/>
        </w:rPr>
        <w:t xml:space="preserve">, administer, or process a transaction, or for maintaining and servicing your </w:t>
      </w:r>
      <w:proofErr w:type="gramStart"/>
      <w:r w:rsidRPr="001A0D86">
        <w:rPr>
          <w:rFonts w:cs="Arial"/>
          <w:szCs w:val="24"/>
        </w:rPr>
        <w:t>account;</w:t>
      </w:r>
      <w:proofErr w:type="gramEnd"/>
      <w:r w:rsidRPr="001A0D86">
        <w:rPr>
          <w:rFonts w:cs="Arial"/>
          <w:szCs w:val="24"/>
        </w:rPr>
        <w:t xml:space="preserve"> </w:t>
      </w:r>
    </w:p>
    <w:p w14:paraId="44691EAE" w14:textId="5EBEA51E" w:rsidR="001B6454" w:rsidRPr="001A0D86" w:rsidRDefault="00184969" w:rsidP="001A0D86">
      <w:pPr>
        <w:pStyle w:val="ListParagraph"/>
        <w:widowControl w:val="0"/>
        <w:numPr>
          <w:ilvl w:val="0"/>
          <w:numId w:val="18"/>
        </w:numPr>
        <w:overflowPunct w:val="0"/>
        <w:autoSpaceDE w:val="0"/>
        <w:autoSpaceDN w:val="0"/>
        <w:adjustRightInd w:val="0"/>
        <w:spacing w:line="239" w:lineRule="auto"/>
        <w:ind w:right="460"/>
        <w:rPr>
          <w:rFonts w:cs="Symbol"/>
          <w:szCs w:val="24"/>
        </w:rPr>
      </w:pPr>
      <w:r w:rsidRPr="001A0D86">
        <w:rPr>
          <w:rFonts w:cs="Arial"/>
          <w:szCs w:val="24"/>
        </w:rPr>
        <w:t xml:space="preserve">As directed by you, FPH will be working with your other professional advisors and FPH will provide information in our possession that is reasonably requested by the other advisors. </w:t>
      </w:r>
    </w:p>
    <w:p w14:paraId="0FCAD59A" w14:textId="77777777" w:rsidR="001B6454" w:rsidRPr="001A0D86" w:rsidRDefault="001B6454">
      <w:pPr>
        <w:widowControl w:val="0"/>
        <w:autoSpaceDE w:val="0"/>
        <w:autoSpaceDN w:val="0"/>
        <w:adjustRightInd w:val="0"/>
        <w:spacing w:line="124" w:lineRule="exact"/>
        <w:rPr>
          <w:szCs w:val="24"/>
        </w:rPr>
      </w:pPr>
    </w:p>
    <w:p w14:paraId="7DBD489C" w14:textId="134F5233" w:rsidR="001B6454" w:rsidRPr="001A0D86" w:rsidRDefault="00184969" w:rsidP="003741FB">
      <w:pPr>
        <w:widowControl w:val="0"/>
        <w:overflowPunct w:val="0"/>
        <w:autoSpaceDE w:val="0"/>
        <w:autoSpaceDN w:val="0"/>
        <w:adjustRightInd w:val="0"/>
        <w:spacing w:line="247" w:lineRule="auto"/>
        <w:ind w:right="80"/>
        <w:rPr>
          <w:szCs w:val="24"/>
        </w:rPr>
      </w:pPr>
      <w:r w:rsidRPr="001A0D86">
        <w:rPr>
          <w:rFonts w:cs="Arial"/>
          <w:szCs w:val="24"/>
        </w:rPr>
        <w:t xml:space="preserve">FPH does not give or sell information about you or your accounts to any other company, individual or group. FPH restricts access to nonpublic personal information about you to those employees who need to know that information to provide services </w:t>
      </w:r>
      <w:proofErr w:type="gramStart"/>
      <w:r w:rsidRPr="001A0D86">
        <w:rPr>
          <w:rFonts w:cs="Arial"/>
          <w:szCs w:val="24"/>
        </w:rPr>
        <w:t>to</w:t>
      </w:r>
      <w:proofErr w:type="gramEnd"/>
      <w:r w:rsidRPr="001A0D86">
        <w:rPr>
          <w:rFonts w:cs="Arial"/>
          <w:szCs w:val="24"/>
        </w:rPr>
        <w:t xml:space="preserve"> you. FPH maintains physical, administrative, and technical procedural safeguards to protect your nonpublic personal information. You do not need to call or do anything </w:t>
      </w:r>
      <w:proofErr w:type="gramStart"/>
      <w:r w:rsidRPr="001A0D86">
        <w:rPr>
          <w:rFonts w:cs="Arial"/>
          <w:szCs w:val="24"/>
        </w:rPr>
        <w:t>as a result of</w:t>
      </w:r>
      <w:proofErr w:type="gramEnd"/>
      <w:r w:rsidRPr="001A0D86">
        <w:rPr>
          <w:rFonts w:cs="Arial"/>
          <w:szCs w:val="24"/>
        </w:rPr>
        <w:t xml:space="preserve"> this notice. It is meant to inform you of how FPH safeguards your nonpublic personal information.</w:t>
      </w:r>
    </w:p>
    <w:p w14:paraId="0CC4BFE6" w14:textId="77777777" w:rsidR="001B6454" w:rsidRPr="00BA69CA" w:rsidRDefault="001B6454">
      <w:pPr>
        <w:widowControl w:val="0"/>
        <w:autoSpaceDE w:val="0"/>
        <w:autoSpaceDN w:val="0"/>
        <w:adjustRightInd w:val="0"/>
        <w:rPr>
          <w:rFonts w:ascii="Times New Roman" w:hAnsi="Times New Roman"/>
          <w:szCs w:val="24"/>
        </w:rPr>
        <w:sectPr w:rsidR="001B6454" w:rsidRPr="00BA69CA" w:rsidSect="000E55D5">
          <w:type w:val="continuous"/>
          <w:pgSz w:w="12240" w:h="15840" w:code="1"/>
          <w:pgMar w:top="1440" w:right="1440" w:bottom="778" w:left="1440" w:header="720" w:footer="720" w:gutter="0"/>
          <w:cols w:space="720" w:equalWidth="0">
            <w:col w:w="9360"/>
          </w:cols>
          <w:noEndnote/>
        </w:sectPr>
      </w:pPr>
    </w:p>
    <w:p w14:paraId="73028689" w14:textId="77777777" w:rsidR="001B6454" w:rsidRPr="00BA69CA" w:rsidRDefault="001B6454">
      <w:pPr>
        <w:widowControl w:val="0"/>
        <w:autoSpaceDE w:val="0"/>
        <w:autoSpaceDN w:val="0"/>
        <w:adjustRightInd w:val="0"/>
        <w:spacing w:line="200" w:lineRule="exact"/>
        <w:rPr>
          <w:rFonts w:ascii="Times New Roman" w:hAnsi="Times New Roman"/>
          <w:szCs w:val="24"/>
        </w:rPr>
      </w:pPr>
    </w:p>
    <w:p w14:paraId="42F02783" w14:textId="77777777" w:rsidR="00D843FA" w:rsidRPr="00BA69CA" w:rsidRDefault="00D843FA">
      <w:pPr>
        <w:widowControl w:val="0"/>
        <w:autoSpaceDE w:val="0"/>
        <w:autoSpaceDN w:val="0"/>
        <w:adjustRightInd w:val="0"/>
        <w:spacing w:line="337" w:lineRule="exact"/>
        <w:rPr>
          <w:rFonts w:ascii="Times New Roman" w:hAnsi="Times New Roman"/>
          <w:szCs w:val="24"/>
        </w:rPr>
      </w:pPr>
    </w:p>
    <w:p w14:paraId="632442A2" w14:textId="77777777" w:rsidR="00E507B7" w:rsidRDefault="00E507B7" w:rsidP="00342CB3">
      <w:pPr>
        <w:widowControl w:val="0"/>
        <w:autoSpaceDE w:val="0"/>
        <w:autoSpaceDN w:val="0"/>
        <w:adjustRightInd w:val="0"/>
        <w:rPr>
          <w:rFonts w:ascii="Arial" w:hAnsi="Arial" w:cs="Arial"/>
          <w:sz w:val="40"/>
          <w:szCs w:val="40"/>
        </w:rPr>
      </w:pPr>
    </w:p>
    <w:p w14:paraId="574D6AAD" w14:textId="0F84A9B4" w:rsidR="007519A3" w:rsidRDefault="007519A3">
      <w:pPr>
        <w:rPr>
          <w:rFonts w:ascii="Arial" w:hAnsi="Arial" w:cs="Arial"/>
          <w:sz w:val="40"/>
          <w:szCs w:val="40"/>
        </w:rPr>
      </w:pPr>
      <w:r>
        <w:rPr>
          <w:rFonts w:ascii="Arial" w:hAnsi="Arial" w:cs="Arial"/>
          <w:sz w:val="40"/>
          <w:szCs w:val="40"/>
        </w:rPr>
        <w:br w:type="page"/>
      </w:r>
    </w:p>
    <w:p w14:paraId="6F6F04FA" w14:textId="77777777" w:rsidR="00E507B7" w:rsidRDefault="00E507B7" w:rsidP="00342CB3">
      <w:pPr>
        <w:widowControl w:val="0"/>
        <w:autoSpaceDE w:val="0"/>
        <w:autoSpaceDN w:val="0"/>
        <w:adjustRightInd w:val="0"/>
        <w:rPr>
          <w:rFonts w:ascii="Arial" w:hAnsi="Arial" w:cs="Arial"/>
          <w:sz w:val="40"/>
          <w:szCs w:val="40"/>
        </w:rPr>
      </w:pPr>
    </w:p>
    <w:p w14:paraId="2340D703" w14:textId="5CCDE6B7" w:rsidR="00E507B7" w:rsidRPr="00D70DAF" w:rsidRDefault="00020C7C" w:rsidP="00342CB3">
      <w:pPr>
        <w:widowControl w:val="0"/>
        <w:autoSpaceDE w:val="0"/>
        <w:autoSpaceDN w:val="0"/>
        <w:adjustRightInd w:val="0"/>
        <w:rPr>
          <w:sz w:val="40"/>
          <w:szCs w:val="40"/>
        </w:rPr>
      </w:pPr>
      <w:r>
        <w:rPr>
          <w:rFonts w:cs="Arial"/>
          <w:sz w:val="40"/>
          <w:szCs w:val="40"/>
        </w:rPr>
        <w:t>Part 2B of Form ADV</w:t>
      </w:r>
    </w:p>
    <w:p w14:paraId="62EC2B19" w14:textId="3744DFCA" w:rsidR="00342CB3" w:rsidRPr="00E507B7" w:rsidRDefault="00342CB3" w:rsidP="00E507B7">
      <w:pPr>
        <w:pStyle w:val="Heading1"/>
        <w:rPr>
          <w:rFonts w:ascii="Times New Roman" w:hAnsi="Times New Roman"/>
        </w:rPr>
      </w:pPr>
      <w:bookmarkStart w:id="29" w:name="_Toc208132683"/>
      <w:r w:rsidRPr="00E507B7">
        <w:t>Brochure Supplement</w:t>
      </w:r>
      <w:r w:rsidR="00BC0DDB" w:rsidRPr="00E507B7">
        <w:t>:</w:t>
      </w:r>
      <w:r w:rsidR="00E507B7">
        <w:t xml:space="preserve"> John H. Robinson</w:t>
      </w:r>
      <w:bookmarkEnd w:id="29"/>
    </w:p>
    <w:p w14:paraId="193E47BC" w14:textId="77777777" w:rsidR="00342CB3" w:rsidRPr="00BA69CA" w:rsidRDefault="00342CB3" w:rsidP="00342CB3">
      <w:pPr>
        <w:widowControl w:val="0"/>
        <w:autoSpaceDE w:val="0"/>
        <w:autoSpaceDN w:val="0"/>
        <w:adjustRightInd w:val="0"/>
        <w:spacing w:line="382" w:lineRule="exact"/>
        <w:rPr>
          <w:rFonts w:ascii="Times New Roman" w:hAnsi="Times New Roman"/>
          <w:szCs w:val="24"/>
        </w:rPr>
      </w:pPr>
    </w:p>
    <w:p w14:paraId="0552AF1F" w14:textId="3CCC8D82" w:rsidR="00342CB3" w:rsidRPr="00D70DAF" w:rsidRDefault="00134E0F" w:rsidP="00342CB3">
      <w:pPr>
        <w:widowControl w:val="0"/>
        <w:autoSpaceDE w:val="0"/>
        <w:autoSpaceDN w:val="0"/>
        <w:adjustRightInd w:val="0"/>
        <w:rPr>
          <w:szCs w:val="24"/>
        </w:rPr>
      </w:pPr>
      <w:r>
        <w:rPr>
          <w:rFonts w:cs="Arial"/>
          <w:sz w:val="32"/>
          <w:szCs w:val="32"/>
        </w:rPr>
        <w:t>September 1</w:t>
      </w:r>
      <w:r w:rsidR="009C4336">
        <w:rPr>
          <w:rFonts w:cs="Arial"/>
          <w:sz w:val="32"/>
          <w:szCs w:val="32"/>
        </w:rPr>
        <w:t>, 2025</w:t>
      </w:r>
    </w:p>
    <w:p w14:paraId="5014F81A"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4F7ECDFE"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4EB16D3A"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07B82FC0"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400C9EE2"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3F381E8A" w14:textId="77777777" w:rsidR="00342CB3" w:rsidRPr="00BA69CA" w:rsidRDefault="00342CB3" w:rsidP="00342CB3">
      <w:pPr>
        <w:widowControl w:val="0"/>
        <w:autoSpaceDE w:val="0"/>
        <w:autoSpaceDN w:val="0"/>
        <w:adjustRightInd w:val="0"/>
        <w:spacing w:line="246" w:lineRule="exact"/>
        <w:rPr>
          <w:rFonts w:ascii="Times New Roman" w:hAnsi="Times New Roman"/>
          <w:szCs w:val="24"/>
        </w:rPr>
      </w:pPr>
    </w:p>
    <w:p w14:paraId="65014B38" w14:textId="77777777" w:rsidR="00342CB3" w:rsidRPr="00BA69CA" w:rsidRDefault="00342CB3" w:rsidP="00342CB3">
      <w:pPr>
        <w:widowControl w:val="0"/>
        <w:autoSpaceDE w:val="0"/>
        <w:autoSpaceDN w:val="0"/>
        <w:adjustRightInd w:val="0"/>
        <w:spacing w:line="1" w:lineRule="exact"/>
        <w:rPr>
          <w:rFonts w:ascii="Times New Roman" w:hAnsi="Times New Roman"/>
          <w:szCs w:val="24"/>
        </w:rPr>
      </w:pPr>
    </w:p>
    <w:p w14:paraId="54D77267"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684CC071" w14:textId="77777777" w:rsidR="00342CB3" w:rsidRPr="00BA69CA" w:rsidRDefault="00342CB3" w:rsidP="00342CB3">
      <w:pPr>
        <w:widowControl w:val="0"/>
        <w:autoSpaceDE w:val="0"/>
        <w:autoSpaceDN w:val="0"/>
        <w:adjustRightInd w:val="0"/>
        <w:spacing w:line="351" w:lineRule="exact"/>
        <w:rPr>
          <w:rFonts w:ascii="Times New Roman" w:hAnsi="Times New Roman"/>
          <w:szCs w:val="24"/>
        </w:rPr>
      </w:pPr>
    </w:p>
    <w:p w14:paraId="7E02A66C" w14:textId="77777777" w:rsidR="00D70DAF" w:rsidRDefault="00D70DAF" w:rsidP="00342CB3">
      <w:pPr>
        <w:widowControl w:val="0"/>
        <w:autoSpaceDE w:val="0"/>
        <w:autoSpaceDN w:val="0"/>
        <w:adjustRightInd w:val="0"/>
        <w:rPr>
          <w:rFonts w:cs="Arial"/>
          <w:szCs w:val="24"/>
        </w:rPr>
      </w:pPr>
    </w:p>
    <w:p w14:paraId="637FA5E3" w14:textId="7EBEEFCE" w:rsidR="00342CB3" w:rsidRPr="00D70DAF" w:rsidRDefault="00342CB3" w:rsidP="00342CB3">
      <w:pPr>
        <w:widowControl w:val="0"/>
        <w:autoSpaceDE w:val="0"/>
        <w:autoSpaceDN w:val="0"/>
        <w:adjustRightInd w:val="0"/>
        <w:rPr>
          <w:szCs w:val="24"/>
        </w:rPr>
      </w:pPr>
      <w:r w:rsidRPr="00D70DAF">
        <w:rPr>
          <w:rFonts w:cs="Arial"/>
          <w:szCs w:val="24"/>
        </w:rPr>
        <w:t>Financial Planning Hawaii, Inc.</w:t>
      </w:r>
    </w:p>
    <w:p w14:paraId="3C4136F5" w14:textId="77777777" w:rsidR="00E60D20" w:rsidRPr="00D70DAF" w:rsidRDefault="00E60D20" w:rsidP="00E60D20">
      <w:pPr>
        <w:widowControl w:val="0"/>
        <w:autoSpaceDE w:val="0"/>
        <w:autoSpaceDN w:val="0"/>
        <w:adjustRightInd w:val="0"/>
        <w:rPr>
          <w:rFonts w:cs="Arial"/>
          <w:szCs w:val="24"/>
        </w:rPr>
      </w:pPr>
      <w:r w:rsidRPr="00D70DAF">
        <w:rPr>
          <w:rFonts w:cs="Arial"/>
          <w:szCs w:val="24"/>
        </w:rPr>
        <w:t>677 Ala Moana Blvd.</w:t>
      </w:r>
    </w:p>
    <w:p w14:paraId="2CE639C9" w14:textId="77777777" w:rsidR="00E60D20" w:rsidRPr="00D70DAF" w:rsidRDefault="00E60D20" w:rsidP="00E60D20">
      <w:pPr>
        <w:widowControl w:val="0"/>
        <w:autoSpaceDE w:val="0"/>
        <w:autoSpaceDN w:val="0"/>
        <w:adjustRightInd w:val="0"/>
        <w:rPr>
          <w:szCs w:val="24"/>
        </w:rPr>
      </w:pPr>
      <w:r w:rsidRPr="00D70DAF">
        <w:rPr>
          <w:rFonts w:cs="Arial"/>
          <w:szCs w:val="24"/>
        </w:rPr>
        <w:t>Suite 605</w:t>
      </w:r>
    </w:p>
    <w:p w14:paraId="17439343" w14:textId="77777777" w:rsidR="00E60D20" w:rsidRPr="00D70DAF" w:rsidRDefault="00E60D20" w:rsidP="00E60D20">
      <w:pPr>
        <w:widowControl w:val="0"/>
        <w:autoSpaceDE w:val="0"/>
        <w:autoSpaceDN w:val="0"/>
        <w:adjustRightInd w:val="0"/>
        <w:rPr>
          <w:szCs w:val="24"/>
        </w:rPr>
      </w:pPr>
      <w:r w:rsidRPr="00D70DAF">
        <w:rPr>
          <w:rFonts w:cs="Arial"/>
          <w:szCs w:val="24"/>
        </w:rPr>
        <w:t>Honolulu, HI 96813</w:t>
      </w:r>
    </w:p>
    <w:p w14:paraId="71FE1B50" w14:textId="77777777" w:rsidR="00E60D20" w:rsidRPr="00D70DAF" w:rsidRDefault="00E60D20" w:rsidP="00E60D20">
      <w:pPr>
        <w:widowControl w:val="0"/>
        <w:autoSpaceDE w:val="0"/>
        <w:autoSpaceDN w:val="0"/>
        <w:adjustRightInd w:val="0"/>
        <w:rPr>
          <w:szCs w:val="24"/>
        </w:rPr>
      </w:pPr>
      <w:r w:rsidRPr="00D70DAF">
        <w:rPr>
          <w:rFonts w:cs="Arial"/>
          <w:szCs w:val="24"/>
        </w:rPr>
        <w:t>Office (808)564-0654</w:t>
      </w:r>
    </w:p>
    <w:p w14:paraId="3C6AB1E4" w14:textId="77777777" w:rsidR="00E60D20" w:rsidRPr="00D70DAF" w:rsidRDefault="00E60D20" w:rsidP="00E60D20">
      <w:pPr>
        <w:widowControl w:val="0"/>
        <w:autoSpaceDE w:val="0"/>
        <w:autoSpaceDN w:val="0"/>
        <w:adjustRightInd w:val="0"/>
        <w:rPr>
          <w:szCs w:val="24"/>
        </w:rPr>
      </w:pPr>
      <w:r w:rsidRPr="00D70DAF">
        <w:rPr>
          <w:rFonts w:cs="Arial"/>
          <w:szCs w:val="24"/>
        </w:rPr>
        <w:t>Fax (808) 466-4052</w:t>
      </w:r>
    </w:p>
    <w:p w14:paraId="6158E207" w14:textId="7E9C4ADC" w:rsidR="00342CB3" w:rsidRPr="00D70DAF" w:rsidRDefault="00342CB3" w:rsidP="00342CB3">
      <w:pPr>
        <w:widowControl w:val="0"/>
        <w:autoSpaceDE w:val="0"/>
        <w:autoSpaceDN w:val="0"/>
        <w:adjustRightInd w:val="0"/>
        <w:rPr>
          <w:szCs w:val="24"/>
        </w:rPr>
      </w:pPr>
      <w:r w:rsidRPr="00D70DAF">
        <w:rPr>
          <w:rFonts w:cs="Arial"/>
          <w:color w:val="0000FF"/>
          <w:szCs w:val="24"/>
          <w:u w:val="single"/>
        </w:rPr>
        <w:t>www.f</w:t>
      </w:r>
      <w:r w:rsidR="00C10ACC" w:rsidRPr="00D70DAF">
        <w:rPr>
          <w:rFonts w:cs="Arial"/>
          <w:color w:val="0000FF"/>
          <w:szCs w:val="24"/>
          <w:u w:val="single"/>
        </w:rPr>
        <w:t>eeonlyplanninghawaii.com</w:t>
      </w:r>
    </w:p>
    <w:p w14:paraId="29E40122"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2B0C3FFB"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51AEEF8B"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3F287665"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0E52E4CD"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1D20335D" w14:textId="77777777" w:rsidR="00342CB3" w:rsidRPr="00BA69CA" w:rsidRDefault="00342CB3" w:rsidP="00342CB3">
      <w:pPr>
        <w:widowControl w:val="0"/>
        <w:autoSpaceDE w:val="0"/>
        <w:autoSpaceDN w:val="0"/>
        <w:adjustRightInd w:val="0"/>
        <w:spacing w:line="370" w:lineRule="exact"/>
        <w:rPr>
          <w:rFonts w:ascii="Times New Roman" w:hAnsi="Times New Roman"/>
          <w:szCs w:val="24"/>
        </w:rPr>
      </w:pPr>
    </w:p>
    <w:p w14:paraId="0947159D" w14:textId="77777777" w:rsidR="00E507B7" w:rsidRDefault="00E507B7" w:rsidP="00342CB3">
      <w:pPr>
        <w:widowControl w:val="0"/>
        <w:overflowPunct w:val="0"/>
        <w:autoSpaceDE w:val="0"/>
        <w:autoSpaceDN w:val="0"/>
        <w:adjustRightInd w:val="0"/>
        <w:spacing w:line="253" w:lineRule="auto"/>
        <w:ind w:right="80"/>
        <w:rPr>
          <w:rFonts w:ascii="Arial" w:hAnsi="Arial" w:cs="Arial"/>
          <w:i/>
          <w:iCs/>
          <w:sz w:val="20"/>
          <w:szCs w:val="20"/>
        </w:rPr>
      </w:pPr>
    </w:p>
    <w:p w14:paraId="447E360C" w14:textId="77777777" w:rsidR="00E507B7" w:rsidRDefault="00E507B7" w:rsidP="00342CB3">
      <w:pPr>
        <w:widowControl w:val="0"/>
        <w:overflowPunct w:val="0"/>
        <w:autoSpaceDE w:val="0"/>
        <w:autoSpaceDN w:val="0"/>
        <w:adjustRightInd w:val="0"/>
        <w:spacing w:line="253" w:lineRule="auto"/>
        <w:ind w:right="80"/>
        <w:rPr>
          <w:rFonts w:ascii="Arial" w:hAnsi="Arial" w:cs="Arial"/>
          <w:i/>
          <w:iCs/>
          <w:sz w:val="20"/>
          <w:szCs w:val="20"/>
        </w:rPr>
      </w:pPr>
    </w:p>
    <w:p w14:paraId="5D70EE22" w14:textId="77777777" w:rsidR="00E507B7" w:rsidRDefault="00E507B7" w:rsidP="00342CB3">
      <w:pPr>
        <w:widowControl w:val="0"/>
        <w:overflowPunct w:val="0"/>
        <w:autoSpaceDE w:val="0"/>
        <w:autoSpaceDN w:val="0"/>
        <w:adjustRightInd w:val="0"/>
        <w:spacing w:line="253" w:lineRule="auto"/>
        <w:ind w:right="80"/>
        <w:rPr>
          <w:rFonts w:ascii="Arial" w:hAnsi="Arial" w:cs="Arial"/>
          <w:i/>
          <w:iCs/>
          <w:sz w:val="20"/>
          <w:szCs w:val="20"/>
        </w:rPr>
      </w:pPr>
    </w:p>
    <w:p w14:paraId="25961730" w14:textId="77777777" w:rsidR="006E0043" w:rsidRDefault="006E0043" w:rsidP="00342CB3">
      <w:pPr>
        <w:widowControl w:val="0"/>
        <w:overflowPunct w:val="0"/>
        <w:autoSpaceDE w:val="0"/>
        <w:autoSpaceDN w:val="0"/>
        <w:adjustRightInd w:val="0"/>
        <w:spacing w:line="253" w:lineRule="auto"/>
        <w:ind w:right="80"/>
        <w:rPr>
          <w:rFonts w:ascii="Arial" w:hAnsi="Arial" w:cs="Arial"/>
          <w:i/>
          <w:iCs/>
          <w:sz w:val="20"/>
          <w:szCs w:val="20"/>
        </w:rPr>
      </w:pPr>
    </w:p>
    <w:p w14:paraId="63DA9A39" w14:textId="77777777" w:rsidR="006E0043" w:rsidRDefault="006E0043" w:rsidP="00342CB3">
      <w:pPr>
        <w:widowControl w:val="0"/>
        <w:overflowPunct w:val="0"/>
        <w:autoSpaceDE w:val="0"/>
        <w:autoSpaceDN w:val="0"/>
        <w:adjustRightInd w:val="0"/>
        <w:spacing w:line="253" w:lineRule="auto"/>
        <w:ind w:right="80"/>
        <w:rPr>
          <w:rFonts w:ascii="Arial" w:hAnsi="Arial" w:cs="Arial"/>
          <w:i/>
          <w:iCs/>
          <w:sz w:val="20"/>
          <w:szCs w:val="20"/>
        </w:rPr>
      </w:pPr>
    </w:p>
    <w:p w14:paraId="54388F4D" w14:textId="77777777" w:rsidR="006E0043" w:rsidRDefault="006E0043" w:rsidP="00342CB3">
      <w:pPr>
        <w:widowControl w:val="0"/>
        <w:overflowPunct w:val="0"/>
        <w:autoSpaceDE w:val="0"/>
        <w:autoSpaceDN w:val="0"/>
        <w:adjustRightInd w:val="0"/>
        <w:spacing w:line="253" w:lineRule="auto"/>
        <w:ind w:right="80"/>
        <w:rPr>
          <w:rFonts w:ascii="Arial" w:hAnsi="Arial" w:cs="Arial"/>
          <w:i/>
          <w:iCs/>
          <w:sz w:val="20"/>
          <w:szCs w:val="20"/>
        </w:rPr>
      </w:pPr>
    </w:p>
    <w:p w14:paraId="237EC934" w14:textId="77777777" w:rsidR="006E0043" w:rsidRDefault="006E0043" w:rsidP="00342CB3">
      <w:pPr>
        <w:widowControl w:val="0"/>
        <w:overflowPunct w:val="0"/>
        <w:autoSpaceDE w:val="0"/>
        <w:autoSpaceDN w:val="0"/>
        <w:adjustRightInd w:val="0"/>
        <w:spacing w:line="253" w:lineRule="auto"/>
        <w:ind w:right="80"/>
        <w:rPr>
          <w:rFonts w:ascii="Arial" w:hAnsi="Arial" w:cs="Arial"/>
          <w:i/>
          <w:iCs/>
          <w:sz w:val="20"/>
          <w:szCs w:val="20"/>
        </w:rPr>
      </w:pPr>
    </w:p>
    <w:p w14:paraId="6F9597C3" w14:textId="77777777" w:rsidR="006E0043" w:rsidRDefault="006E0043" w:rsidP="00342CB3">
      <w:pPr>
        <w:widowControl w:val="0"/>
        <w:overflowPunct w:val="0"/>
        <w:autoSpaceDE w:val="0"/>
        <w:autoSpaceDN w:val="0"/>
        <w:adjustRightInd w:val="0"/>
        <w:spacing w:line="253" w:lineRule="auto"/>
        <w:ind w:right="80"/>
        <w:rPr>
          <w:rFonts w:ascii="Arial" w:hAnsi="Arial" w:cs="Arial"/>
          <w:i/>
          <w:iCs/>
          <w:sz w:val="20"/>
          <w:szCs w:val="20"/>
        </w:rPr>
      </w:pPr>
    </w:p>
    <w:p w14:paraId="712ED9BE" w14:textId="77777777" w:rsidR="006E0043" w:rsidRDefault="006E0043" w:rsidP="00342CB3">
      <w:pPr>
        <w:widowControl w:val="0"/>
        <w:overflowPunct w:val="0"/>
        <w:autoSpaceDE w:val="0"/>
        <w:autoSpaceDN w:val="0"/>
        <w:adjustRightInd w:val="0"/>
        <w:spacing w:line="253" w:lineRule="auto"/>
        <w:ind w:right="80"/>
        <w:rPr>
          <w:rFonts w:ascii="Arial" w:hAnsi="Arial" w:cs="Arial"/>
          <w:i/>
          <w:iCs/>
          <w:sz w:val="20"/>
          <w:szCs w:val="20"/>
        </w:rPr>
      </w:pPr>
    </w:p>
    <w:p w14:paraId="23010AA7" w14:textId="77777777" w:rsidR="00D70DAF" w:rsidRDefault="00D70DAF" w:rsidP="00D70DAF">
      <w:pPr>
        <w:widowControl w:val="0"/>
        <w:overflowPunct w:val="0"/>
        <w:autoSpaceDE w:val="0"/>
        <w:autoSpaceDN w:val="0"/>
        <w:adjustRightInd w:val="0"/>
        <w:spacing w:line="253" w:lineRule="auto"/>
        <w:rPr>
          <w:rFonts w:cs="Arial"/>
          <w:szCs w:val="24"/>
        </w:rPr>
      </w:pPr>
    </w:p>
    <w:p w14:paraId="4A44CA34" w14:textId="77777777" w:rsidR="00D70DAF" w:rsidRDefault="00D70DAF" w:rsidP="00D70DAF">
      <w:pPr>
        <w:widowControl w:val="0"/>
        <w:overflowPunct w:val="0"/>
        <w:autoSpaceDE w:val="0"/>
        <w:autoSpaceDN w:val="0"/>
        <w:adjustRightInd w:val="0"/>
        <w:spacing w:line="253" w:lineRule="auto"/>
        <w:rPr>
          <w:rFonts w:cs="Arial"/>
          <w:szCs w:val="24"/>
        </w:rPr>
      </w:pPr>
    </w:p>
    <w:p w14:paraId="775F34AC" w14:textId="7CE4FE31" w:rsidR="00342CB3" w:rsidRPr="00D70DAF" w:rsidRDefault="00342CB3" w:rsidP="00D70DAF">
      <w:pPr>
        <w:widowControl w:val="0"/>
        <w:overflowPunct w:val="0"/>
        <w:autoSpaceDE w:val="0"/>
        <w:autoSpaceDN w:val="0"/>
        <w:adjustRightInd w:val="0"/>
        <w:spacing w:line="253" w:lineRule="auto"/>
        <w:rPr>
          <w:szCs w:val="24"/>
        </w:rPr>
      </w:pPr>
      <w:r w:rsidRPr="00D70DAF">
        <w:rPr>
          <w:rFonts w:cs="Arial"/>
          <w:szCs w:val="24"/>
        </w:rPr>
        <w:t xml:space="preserve">This </w:t>
      </w:r>
      <w:proofErr w:type="gramStart"/>
      <w:r w:rsidRPr="00D70DAF">
        <w:rPr>
          <w:rFonts w:cs="Arial"/>
          <w:szCs w:val="24"/>
        </w:rPr>
        <w:t>brochure supplement</w:t>
      </w:r>
      <w:proofErr w:type="gramEnd"/>
      <w:r w:rsidRPr="00D70DAF">
        <w:rPr>
          <w:rFonts w:cs="Arial"/>
          <w:szCs w:val="24"/>
        </w:rPr>
        <w:t xml:space="preserve"> provides information about the </w:t>
      </w:r>
      <w:r w:rsidR="002D5F74">
        <w:rPr>
          <w:rFonts w:cs="Arial"/>
          <w:szCs w:val="24"/>
        </w:rPr>
        <w:t>Supervised Person</w:t>
      </w:r>
      <w:r w:rsidRPr="00D70DAF">
        <w:rPr>
          <w:rFonts w:cs="Arial"/>
          <w:szCs w:val="24"/>
        </w:rPr>
        <w:t xml:space="preserve"> listed above that supplement FPH’s brochure. You should have received a copy of that brochure. Please contact John Robinson at (808) 564-0654 and/or via email at </w:t>
      </w:r>
      <w:r w:rsidRPr="00D70DAF">
        <w:rPr>
          <w:rFonts w:cs="Arial"/>
          <w:color w:val="0000FF"/>
          <w:szCs w:val="24"/>
          <w:u w:val="single"/>
        </w:rPr>
        <w:t>jr@fphawaii.com</w:t>
      </w:r>
      <w:r w:rsidRPr="00D70DAF">
        <w:rPr>
          <w:rFonts w:cs="Arial"/>
          <w:szCs w:val="24"/>
        </w:rPr>
        <w:t xml:space="preserve"> if you did not receive FPH’s brochure or if you have any questions about the contents of this supplement.</w:t>
      </w:r>
    </w:p>
    <w:p w14:paraId="1A74AC0A" w14:textId="77777777" w:rsidR="00342CB3" w:rsidRPr="00D70DAF" w:rsidRDefault="00342CB3" w:rsidP="00D70DAF">
      <w:pPr>
        <w:widowControl w:val="0"/>
        <w:autoSpaceDE w:val="0"/>
        <w:autoSpaceDN w:val="0"/>
        <w:adjustRightInd w:val="0"/>
        <w:spacing w:line="185" w:lineRule="exact"/>
        <w:rPr>
          <w:szCs w:val="24"/>
        </w:rPr>
      </w:pPr>
    </w:p>
    <w:p w14:paraId="295BB090" w14:textId="39BD1D71" w:rsidR="00F57A25" w:rsidRPr="00D70DAF" w:rsidRDefault="00342CB3" w:rsidP="00D70DAF">
      <w:pPr>
        <w:widowControl w:val="0"/>
        <w:overflowPunct w:val="0"/>
        <w:autoSpaceDE w:val="0"/>
        <w:autoSpaceDN w:val="0"/>
        <w:adjustRightInd w:val="0"/>
        <w:spacing w:line="275" w:lineRule="auto"/>
        <w:rPr>
          <w:rFonts w:cs="Arial"/>
          <w:szCs w:val="24"/>
        </w:rPr>
      </w:pPr>
      <w:r w:rsidRPr="00D70DAF">
        <w:rPr>
          <w:rFonts w:cs="Arial"/>
          <w:szCs w:val="24"/>
        </w:rPr>
        <w:t xml:space="preserve">Additional information </w:t>
      </w:r>
      <w:r w:rsidR="00C43FEB" w:rsidRPr="00D70DAF">
        <w:rPr>
          <w:rFonts w:cs="Arial"/>
          <w:szCs w:val="24"/>
        </w:rPr>
        <w:t>about John Robinson</w:t>
      </w:r>
      <w:r w:rsidRPr="00D70DAF">
        <w:rPr>
          <w:rFonts w:cs="Arial"/>
          <w:szCs w:val="24"/>
        </w:rPr>
        <w:t xml:space="preserve"> is also available on the SEC’s website at </w:t>
      </w:r>
      <w:hyperlink r:id="rId8" w:history="1">
        <w:r w:rsidR="00845430" w:rsidRPr="00D70DAF">
          <w:rPr>
            <w:rStyle w:val="Hyperlink"/>
            <w:rFonts w:cs="Arial"/>
            <w:szCs w:val="24"/>
          </w:rPr>
          <w:t>www.adviserinfo.sec.gov</w:t>
        </w:r>
      </w:hyperlink>
      <w:r w:rsidR="00845430" w:rsidRPr="00D70DAF">
        <w:rPr>
          <w:rFonts w:cs="Arial"/>
          <w:szCs w:val="24"/>
        </w:rPr>
        <w:t>. The CRD number for John Robinson is 192869</w:t>
      </w:r>
      <w:r w:rsidR="00C43FEB" w:rsidRPr="00D70DAF">
        <w:rPr>
          <w:rFonts w:cs="Arial"/>
          <w:szCs w:val="24"/>
        </w:rPr>
        <w:t>7.</w:t>
      </w:r>
    </w:p>
    <w:p w14:paraId="47B8D2F7"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18821E95"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52DBED3B" w14:textId="77777777" w:rsidR="00342CB3" w:rsidRPr="00BA69CA" w:rsidRDefault="00342CB3" w:rsidP="00342CB3">
      <w:pPr>
        <w:widowControl w:val="0"/>
        <w:autoSpaceDE w:val="0"/>
        <w:autoSpaceDN w:val="0"/>
        <w:adjustRightInd w:val="0"/>
        <w:spacing w:line="200" w:lineRule="exact"/>
        <w:rPr>
          <w:rFonts w:ascii="Times New Roman" w:hAnsi="Times New Roman"/>
          <w:szCs w:val="24"/>
        </w:rPr>
      </w:pPr>
    </w:p>
    <w:p w14:paraId="0B04752C" w14:textId="77777777" w:rsidR="00342CB3" w:rsidRPr="00BA69CA" w:rsidRDefault="00342CB3" w:rsidP="00342CB3">
      <w:pPr>
        <w:widowControl w:val="0"/>
        <w:autoSpaceDE w:val="0"/>
        <w:autoSpaceDN w:val="0"/>
        <w:adjustRightInd w:val="0"/>
        <w:rPr>
          <w:rFonts w:ascii="Arial" w:hAnsi="Arial" w:cs="Arial"/>
          <w:b/>
          <w:bCs/>
          <w:szCs w:val="24"/>
        </w:rPr>
        <w:sectPr w:rsidR="00342CB3" w:rsidRPr="00BA69CA" w:rsidSect="000E55D5">
          <w:type w:val="continuous"/>
          <w:pgSz w:w="12240" w:h="15840" w:code="1"/>
          <w:pgMar w:top="1440" w:right="1440" w:bottom="1440" w:left="1440" w:header="720" w:footer="720" w:gutter="0"/>
          <w:cols w:space="720" w:equalWidth="0">
            <w:col w:w="9360"/>
          </w:cols>
          <w:noEndnote/>
          <w:docGrid w:linePitch="326"/>
        </w:sectPr>
      </w:pPr>
    </w:p>
    <w:p w14:paraId="3A3BEDA8" w14:textId="3D3BB0AB" w:rsidR="00342CB3" w:rsidRPr="00B00517" w:rsidRDefault="00F5059D" w:rsidP="006E0043">
      <w:pPr>
        <w:spacing w:after="200" w:line="276" w:lineRule="auto"/>
        <w:rPr>
          <w:rFonts w:cs="Arial"/>
          <w:sz w:val="28"/>
          <w:szCs w:val="28"/>
          <w:u w:val="single"/>
        </w:rPr>
      </w:pPr>
      <w:r w:rsidRPr="00B00517">
        <w:rPr>
          <w:rFonts w:cs="Arial"/>
          <w:sz w:val="28"/>
          <w:szCs w:val="28"/>
          <w:u w:val="single"/>
        </w:rPr>
        <w:lastRenderedPageBreak/>
        <w:t xml:space="preserve">Item 2 - </w:t>
      </w:r>
      <w:r w:rsidR="00342CB3" w:rsidRPr="00B00517">
        <w:rPr>
          <w:rFonts w:cs="Arial"/>
          <w:sz w:val="28"/>
          <w:szCs w:val="28"/>
          <w:u w:val="single"/>
        </w:rPr>
        <w:t xml:space="preserve">Educational Background and </w:t>
      </w:r>
      <w:r w:rsidR="001A0D86">
        <w:rPr>
          <w:rFonts w:cs="Arial"/>
          <w:sz w:val="28"/>
          <w:szCs w:val="28"/>
          <w:u w:val="single"/>
        </w:rPr>
        <w:t xml:space="preserve">Business </w:t>
      </w:r>
      <w:r w:rsidR="00342CB3" w:rsidRPr="00B00517">
        <w:rPr>
          <w:rFonts w:cs="Arial"/>
          <w:sz w:val="28"/>
          <w:szCs w:val="28"/>
          <w:u w:val="single"/>
        </w:rPr>
        <w:t>Experience</w:t>
      </w:r>
    </w:p>
    <w:p w14:paraId="28191276" w14:textId="77777777" w:rsidR="00342CB3" w:rsidRPr="00BA69CA" w:rsidRDefault="00342CB3" w:rsidP="00342CB3">
      <w:pPr>
        <w:widowControl w:val="0"/>
        <w:autoSpaceDE w:val="0"/>
        <w:autoSpaceDN w:val="0"/>
        <w:adjustRightInd w:val="0"/>
        <w:spacing w:line="192" w:lineRule="exact"/>
        <w:rPr>
          <w:rFonts w:ascii="Times New Roman" w:hAnsi="Times New Roman"/>
          <w:szCs w:val="24"/>
        </w:rPr>
      </w:pPr>
    </w:p>
    <w:p w14:paraId="64E5F6D5" w14:textId="77777777" w:rsidR="006A047B" w:rsidRPr="00B00517" w:rsidRDefault="00342CB3" w:rsidP="00342CB3">
      <w:pPr>
        <w:widowControl w:val="0"/>
        <w:overflowPunct w:val="0"/>
        <w:autoSpaceDE w:val="0"/>
        <w:autoSpaceDN w:val="0"/>
        <w:adjustRightInd w:val="0"/>
        <w:spacing w:line="239" w:lineRule="auto"/>
        <w:ind w:right="6340"/>
        <w:rPr>
          <w:rFonts w:cs="Arial"/>
          <w:szCs w:val="24"/>
        </w:rPr>
      </w:pPr>
      <w:r w:rsidRPr="00B00517">
        <w:rPr>
          <w:rFonts w:cs="Arial"/>
          <w:szCs w:val="24"/>
        </w:rPr>
        <w:t xml:space="preserve">Name: John H. Robinson </w:t>
      </w:r>
    </w:p>
    <w:p w14:paraId="653B2B88" w14:textId="3FA4F8AE" w:rsidR="00342CB3" w:rsidRPr="00B00517" w:rsidRDefault="00C67CA4" w:rsidP="00342CB3">
      <w:pPr>
        <w:widowControl w:val="0"/>
        <w:overflowPunct w:val="0"/>
        <w:autoSpaceDE w:val="0"/>
        <w:autoSpaceDN w:val="0"/>
        <w:adjustRightInd w:val="0"/>
        <w:spacing w:line="239" w:lineRule="auto"/>
        <w:ind w:right="6340"/>
        <w:rPr>
          <w:szCs w:val="24"/>
        </w:rPr>
      </w:pPr>
      <w:r w:rsidRPr="00B00517">
        <w:rPr>
          <w:rFonts w:cs="Arial"/>
          <w:szCs w:val="24"/>
        </w:rPr>
        <w:t xml:space="preserve">Year </w:t>
      </w:r>
      <w:r w:rsidR="00342CB3" w:rsidRPr="00B00517">
        <w:rPr>
          <w:rFonts w:cs="Arial"/>
          <w:szCs w:val="24"/>
        </w:rPr>
        <w:t>of Birth: 1966</w:t>
      </w:r>
    </w:p>
    <w:p w14:paraId="2A01FEA9" w14:textId="77777777" w:rsidR="00342CB3" w:rsidRPr="00B00517" w:rsidRDefault="00342CB3" w:rsidP="00342CB3">
      <w:pPr>
        <w:widowControl w:val="0"/>
        <w:autoSpaceDE w:val="0"/>
        <w:autoSpaceDN w:val="0"/>
        <w:adjustRightInd w:val="0"/>
        <w:spacing w:line="2" w:lineRule="exact"/>
        <w:rPr>
          <w:szCs w:val="24"/>
        </w:rPr>
      </w:pPr>
    </w:p>
    <w:p w14:paraId="299375B5" w14:textId="77777777" w:rsidR="00342CB3" w:rsidRPr="00B00517" w:rsidRDefault="00342CB3" w:rsidP="00342CB3">
      <w:pPr>
        <w:widowControl w:val="0"/>
        <w:tabs>
          <w:tab w:val="left" w:pos="1420"/>
        </w:tabs>
        <w:autoSpaceDE w:val="0"/>
        <w:autoSpaceDN w:val="0"/>
        <w:adjustRightInd w:val="0"/>
        <w:rPr>
          <w:szCs w:val="24"/>
        </w:rPr>
      </w:pPr>
      <w:r w:rsidRPr="00B00517">
        <w:rPr>
          <w:rFonts w:cs="Arial"/>
          <w:szCs w:val="24"/>
        </w:rPr>
        <w:t>Education:</w:t>
      </w:r>
      <w:r w:rsidRPr="00B00517">
        <w:rPr>
          <w:szCs w:val="24"/>
        </w:rPr>
        <w:tab/>
      </w:r>
      <w:r w:rsidRPr="00B00517">
        <w:rPr>
          <w:rFonts w:cs="Arial"/>
          <w:szCs w:val="24"/>
        </w:rPr>
        <w:t>Williams College, BA Economics (1988)</w:t>
      </w:r>
    </w:p>
    <w:p w14:paraId="19177234" w14:textId="77777777" w:rsidR="00342CB3" w:rsidRPr="00B00517" w:rsidRDefault="00342CB3" w:rsidP="00342CB3">
      <w:pPr>
        <w:widowControl w:val="0"/>
        <w:autoSpaceDE w:val="0"/>
        <w:autoSpaceDN w:val="0"/>
        <w:adjustRightInd w:val="0"/>
        <w:spacing w:line="12" w:lineRule="exact"/>
        <w:rPr>
          <w:szCs w:val="24"/>
        </w:rPr>
      </w:pPr>
    </w:p>
    <w:p w14:paraId="35C990D9" w14:textId="77777777" w:rsidR="001A0D86" w:rsidRDefault="001A0D86" w:rsidP="006A047B">
      <w:pPr>
        <w:autoSpaceDE w:val="0"/>
        <w:autoSpaceDN w:val="0"/>
        <w:adjustRightInd w:val="0"/>
        <w:rPr>
          <w:rFonts w:cs="Arial"/>
          <w:szCs w:val="24"/>
        </w:rPr>
      </w:pPr>
      <w:r>
        <w:rPr>
          <w:rFonts w:cs="Arial"/>
          <w:szCs w:val="24"/>
        </w:rPr>
        <w:t>Business Experience</w:t>
      </w:r>
      <w:r w:rsidR="00342CB3" w:rsidRPr="00B00517">
        <w:rPr>
          <w:rFonts w:cs="Arial"/>
          <w:szCs w:val="24"/>
        </w:rPr>
        <w:t>:</w:t>
      </w:r>
    </w:p>
    <w:p w14:paraId="7F32DE05" w14:textId="77777777" w:rsidR="001A0D86" w:rsidRDefault="006A047B" w:rsidP="001A0D86">
      <w:pPr>
        <w:pStyle w:val="ListParagraph"/>
        <w:numPr>
          <w:ilvl w:val="0"/>
          <w:numId w:val="16"/>
        </w:numPr>
        <w:autoSpaceDE w:val="0"/>
        <w:autoSpaceDN w:val="0"/>
        <w:adjustRightInd w:val="0"/>
        <w:rPr>
          <w:rFonts w:cs="Arial"/>
          <w:szCs w:val="24"/>
        </w:rPr>
      </w:pPr>
      <w:r w:rsidRPr="001A0D86">
        <w:rPr>
          <w:rFonts w:cs="Arial"/>
          <w:szCs w:val="24"/>
        </w:rPr>
        <w:t>Financial Planning Hawaii, Inc. (2010 – Present) – Founder, President.</w:t>
      </w:r>
    </w:p>
    <w:p w14:paraId="715CB529" w14:textId="65F8C1B0" w:rsidR="001A0D86" w:rsidRDefault="00D8021C" w:rsidP="001A0D86">
      <w:pPr>
        <w:pStyle w:val="ListParagraph"/>
        <w:numPr>
          <w:ilvl w:val="0"/>
          <w:numId w:val="16"/>
        </w:numPr>
        <w:autoSpaceDE w:val="0"/>
        <w:autoSpaceDN w:val="0"/>
        <w:adjustRightInd w:val="0"/>
        <w:rPr>
          <w:rFonts w:cs="Arial"/>
          <w:szCs w:val="24"/>
        </w:rPr>
      </w:pPr>
      <w:r w:rsidRPr="001A0D86">
        <w:rPr>
          <w:rFonts w:cs="Arial"/>
          <w:szCs w:val="24"/>
        </w:rPr>
        <w:t xml:space="preserve">JW Cole </w:t>
      </w:r>
      <w:r w:rsidR="006B6542" w:rsidRPr="001A0D86">
        <w:rPr>
          <w:rFonts w:cs="Arial"/>
          <w:szCs w:val="24"/>
        </w:rPr>
        <w:t>- (</w:t>
      </w:r>
      <w:r w:rsidRPr="001A0D86">
        <w:rPr>
          <w:rFonts w:cs="Arial"/>
          <w:szCs w:val="24"/>
        </w:rPr>
        <w:t xml:space="preserve">2010- </w:t>
      </w:r>
      <w:r w:rsidR="00683372">
        <w:rPr>
          <w:rFonts w:cs="Arial"/>
          <w:szCs w:val="24"/>
        </w:rPr>
        <w:t>2025</w:t>
      </w:r>
      <w:r w:rsidRPr="001A0D86">
        <w:rPr>
          <w:rFonts w:cs="Arial"/>
          <w:szCs w:val="24"/>
        </w:rPr>
        <w:t>) – Registered Representative</w:t>
      </w:r>
      <w:r w:rsidR="00D247A8" w:rsidRPr="001A0D86">
        <w:rPr>
          <w:rFonts w:cs="Arial"/>
          <w:szCs w:val="24"/>
        </w:rPr>
        <w:t xml:space="preserve"> and Investment Advisor Representative.</w:t>
      </w:r>
    </w:p>
    <w:p w14:paraId="1AAD0998" w14:textId="042B2A6B" w:rsidR="001A0D86" w:rsidRDefault="006A047B" w:rsidP="001A0D86">
      <w:pPr>
        <w:pStyle w:val="ListParagraph"/>
        <w:numPr>
          <w:ilvl w:val="0"/>
          <w:numId w:val="16"/>
        </w:numPr>
        <w:autoSpaceDE w:val="0"/>
        <w:autoSpaceDN w:val="0"/>
        <w:adjustRightInd w:val="0"/>
        <w:rPr>
          <w:rFonts w:cs="Arial"/>
          <w:szCs w:val="24"/>
        </w:rPr>
      </w:pPr>
      <w:r w:rsidRPr="001A0D86">
        <w:rPr>
          <w:rFonts w:cs="Arial"/>
          <w:szCs w:val="24"/>
        </w:rPr>
        <w:t>Hawaii Wealth Management</w:t>
      </w:r>
      <w:r w:rsidR="00143105">
        <w:rPr>
          <w:rFonts w:cs="Arial"/>
          <w:szCs w:val="24"/>
        </w:rPr>
        <w:t>/Wells Fargo Fi-Net</w:t>
      </w:r>
      <w:r w:rsidRPr="001A0D86">
        <w:rPr>
          <w:rFonts w:cs="Arial"/>
          <w:szCs w:val="24"/>
        </w:rPr>
        <w:t xml:space="preserve"> (2003-2010) – Branch Manager, Managing Director, and Co-founder.</w:t>
      </w:r>
    </w:p>
    <w:p w14:paraId="50B4C90A" w14:textId="1D478BB4" w:rsidR="00424712" w:rsidRDefault="00424712" w:rsidP="001A0D86">
      <w:pPr>
        <w:pStyle w:val="ListParagraph"/>
        <w:numPr>
          <w:ilvl w:val="0"/>
          <w:numId w:val="16"/>
        </w:numPr>
        <w:autoSpaceDE w:val="0"/>
        <w:autoSpaceDN w:val="0"/>
        <w:adjustRightInd w:val="0"/>
        <w:rPr>
          <w:rFonts w:cs="Arial"/>
          <w:szCs w:val="24"/>
        </w:rPr>
      </w:pPr>
      <w:r>
        <w:rPr>
          <w:rFonts w:cs="Arial"/>
          <w:szCs w:val="24"/>
        </w:rPr>
        <w:t>Salomon Smith Barney/Citigroup (1996-2003) – Registered Represent</w:t>
      </w:r>
      <w:r w:rsidR="00143105">
        <w:rPr>
          <w:rFonts w:cs="Arial"/>
          <w:szCs w:val="24"/>
        </w:rPr>
        <w:t>ative, Investment Adviser Representative, Vice President-Investments</w:t>
      </w:r>
    </w:p>
    <w:p w14:paraId="31FF9F57" w14:textId="0DA882EA" w:rsidR="00143105" w:rsidRDefault="00143105" w:rsidP="001A0D86">
      <w:pPr>
        <w:pStyle w:val="ListParagraph"/>
        <w:numPr>
          <w:ilvl w:val="0"/>
          <w:numId w:val="16"/>
        </w:numPr>
        <w:autoSpaceDE w:val="0"/>
        <w:autoSpaceDN w:val="0"/>
        <w:adjustRightInd w:val="0"/>
        <w:rPr>
          <w:rFonts w:cs="Arial"/>
          <w:szCs w:val="24"/>
        </w:rPr>
      </w:pPr>
      <w:r>
        <w:rPr>
          <w:rFonts w:cs="Arial"/>
          <w:szCs w:val="24"/>
        </w:rPr>
        <w:t>A.G. Edwards &amp; Sons (1990-1996) – Registered Representative, Investment Broker.</w:t>
      </w:r>
    </w:p>
    <w:p w14:paraId="2A9D6FCB" w14:textId="77777777" w:rsidR="006A047B" w:rsidRPr="00B00517" w:rsidRDefault="006A047B" w:rsidP="006A047B">
      <w:pPr>
        <w:autoSpaceDE w:val="0"/>
        <w:autoSpaceDN w:val="0"/>
        <w:adjustRightInd w:val="0"/>
        <w:ind w:left="720" w:firstLine="720"/>
        <w:rPr>
          <w:rFonts w:cs="Arial"/>
          <w:szCs w:val="24"/>
        </w:rPr>
      </w:pPr>
    </w:p>
    <w:p w14:paraId="74D67C7C" w14:textId="40A08E46" w:rsidR="00342CB3" w:rsidRPr="00B00517" w:rsidRDefault="00342CB3" w:rsidP="006A047B">
      <w:pPr>
        <w:widowControl w:val="0"/>
        <w:overflowPunct w:val="0"/>
        <w:autoSpaceDE w:val="0"/>
        <w:autoSpaceDN w:val="0"/>
        <w:adjustRightInd w:val="0"/>
        <w:spacing w:line="252" w:lineRule="auto"/>
        <w:ind w:left="1440" w:right="1400" w:hanging="1440"/>
        <w:rPr>
          <w:rFonts w:cs="Arial"/>
          <w:szCs w:val="24"/>
        </w:rPr>
      </w:pPr>
      <w:r w:rsidRPr="00B00517">
        <w:rPr>
          <w:rFonts w:cs="Arial"/>
          <w:szCs w:val="24"/>
        </w:rPr>
        <w:t>Licenses: FINRA Series 65</w:t>
      </w:r>
      <w:r w:rsidR="00143105">
        <w:rPr>
          <w:rFonts w:cs="Arial"/>
          <w:szCs w:val="24"/>
        </w:rPr>
        <w:t>, Series 63, Series 24, Series 9/10, Series 6, Series 3.</w:t>
      </w:r>
    </w:p>
    <w:p w14:paraId="5E6365BF" w14:textId="77777777" w:rsidR="003741FB" w:rsidRPr="00BA69CA" w:rsidRDefault="003741FB" w:rsidP="006A047B">
      <w:pPr>
        <w:widowControl w:val="0"/>
        <w:overflowPunct w:val="0"/>
        <w:autoSpaceDE w:val="0"/>
        <w:autoSpaceDN w:val="0"/>
        <w:adjustRightInd w:val="0"/>
        <w:spacing w:line="252" w:lineRule="auto"/>
        <w:ind w:left="1440" w:right="1400" w:hanging="1440"/>
        <w:rPr>
          <w:rFonts w:ascii="Times New Roman" w:hAnsi="Times New Roman"/>
          <w:szCs w:val="24"/>
        </w:rPr>
      </w:pPr>
    </w:p>
    <w:p w14:paraId="637294A9" w14:textId="77777777" w:rsidR="00342CB3" w:rsidRPr="00BA69CA" w:rsidRDefault="00342CB3" w:rsidP="00342CB3">
      <w:pPr>
        <w:widowControl w:val="0"/>
        <w:autoSpaceDE w:val="0"/>
        <w:autoSpaceDN w:val="0"/>
        <w:adjustRightInd w:val="0"/>
        <w:spacing w:line="157" w:lineRule="exact"/>
        <w:rPr>
          <w:rFonts w:ascii="Times New Roman" w:hAnsi="Times New Roman"/>
          <w:szCs w:val="24"/>
        </w:rPr>
      </w:pPr>
    </w:p>
    <w:p w14:paraId="0C2B47DD" w14:textId="77777777" w:rsidR="00973A4A" w:rsidRPr="00B00517" w:rsidRDefault="00973A4A" w:rsidP="00342CB3">
      <w:pPr>
        <w:widowControl w:val="0"/>
        <w:overflowPunct w:val="0"/>
        <w:autoSpaceDE w:val="0"/>
        <w:autoSpaceDN w:val="0"/>
        <w:adjustRightInd w:val="0"/>
        <w:spacing w:line="275" w:lineRule="auto"/>
        <w:ind w:right="60"/>
        <w:rPr>
          <w:rFonts w:cs="Arial"/>
          <w:sz w:val="28"/>
          <w:szCs w:val="28"/>
          <w:u w:val="single"/>
        </w:rPr>
      </w:pPr>
      <w:r w:rsidRPr="00B00517">
        <w:rPr>
          <w:rFonts w:cs="Arial"/>
          <w:sz w:val="28"/>
          <w:szCs w:val="28"/>
          <w:u w:val="single"/>
        </w:rPr>
        <w:t>Item 3 – Disciplinary Information</w:t>
      </w:r>
    </w:p>
    <w:p w14:paraId="3B56D1F9" w14:textId="77777777" w:rsidR="00973A4A" w:rsidRDefault="00973A4A" w:rsidP="00342CB3">
      <w:pPr>
        <w:widowControl w:val="0"/>
        <w:overflowPunct w:val="0"/>
        <w:autoSpaceDE w:val="0"/>
        <w:autoSpaceDN w:val="0"/>
        <w:adjustRightInd w:val="0"/>
        <w:spacing w:line="275" w:lineRule="auto"/>
        <w:ind w:right="60"/>
        <w:rPr>
          <w:rFonts w:ascii="Arial" w:hAnsi="Arial" w:cs="Arial"/>
          <w:sz w:val="20"/>
          <w:szCs w:val="20"/>
        </w:rPr>
      </w:pPr>
    </w:p>
    <w:p w14:paraId="015629AE" w14:textId="2C9DC337" w:rsidR="00342CB3" w:rsidRPr="004C2BCB" w:rsidRDefault="00342CB3" w:rsidP="00B00517">
      <w:pPr>
        <w:rPr>
          <w:rFonts w:ascii="Times New Roman" w:hAnsi="Times New Roman"/>
          <w:szCs w:val="24"/>
        </w:rPr>
      </w:pPr>
      <w:r w:rsidRPr="004C2BCB">
        <w:t xml:space="preserve">There are no disclosure events involving a criminal or civil action in a domestic, </w:t>
      </w:r>
      <w:r w:rsidR="00177C0A" w:rsidRPr="004C2BCB">
        <w:t>foreign,</w:t>
      </w:r>
      <w:r w:rsidRPr="004C2BCB">
        <w:t xml:space="preserve"> or military court of competent jurisdiction in which FPH or its personnel are involved.</w:t>
      </w:r>
    </w:p>
    <w:p w14:paraId="6189AE28" w14:textId="77777777" w:rsidR="00342CB3" w:rsidRPr="004C2BCB" w:rsidRDefault="00342CB3" w:rsidP="00B00517">
      <w:pPr>
        <w:rPr>
          <w:rFonts w:ascii="Times New Roman" w:hAnsi="Times New Roman"/>
          <w:szCs w:val="24"/>
        </w:rPr>
      </w:pPr>
    </w:p>
    <w:p w14:paraId="79EB2C57" w14:textId="77777777" w:rsidR="00342CB3" w:rsidRPr="004C2BCB" w:rsidRDefault="00342CB3" w:rsidP="00B00517">
      <w:pPr>
        <w:rPr>
          <w:rFonts w:ascii="Times New Roman" w:hAnsi="Times New Roman"/>
          <w:szCs w:val="24"/>
        </w:rPr>
      </w:pPr>
      <w:r w:rsidRPr="004C2BCB">
        <w:t>There are no disclosure events involving an administrative proceeding before the SEC, any other federal regulatory agency, any state regulatory agency, or any foreign financial regulatory authority in which FPH or its personnel are involved.</w:t>
      </w:r>
    </w:p>
    <w:p w14:paraId="4E10FBEB" w14:textId="77777777" w:rsidR="00342CB3" w:rsidRPr="004C2BCB" w:rsidRDefault="00342CB3" w:rsidP="00B00517">
      <w:pPr>
        <w:rPr>
          <w:rFonts w:ascii="Times New Roman" w:hAnsi="Times New Roman"/>
          <w:szCs w:val="24"/>
        </w:rPr>
      </w:pPr>
    </w:p>
    <w:p w14:paraId="36A135B5" w14:textId="3524B148" w:rsidR="00342CB3" w:rsidRPr="004C2BCB" w:rsidRDefault="00342CB3" w:rsidP="00B00517">
      <w:pPr>
        <w:rPr>
          <w:rFonts w:ascii="Times New Roman" w:hAnsi="Times New Roman"/>
          <w:szCs w:val="24"/>
        </w:rPr>
      </w:pPr>
      <w:r w:rsidRPr="004C2BCB">
        <w:t>There are no disclosure events involving A self-regulatory organization (SRO) proceeding in which FPH or its personnel are involved.</w:t>
      </w:r>
    </w:p>
    <w:p w14:paraId="710B9862" w14:textId="77777777" w:rsidR="00D725A5" w:rsidRPr="00BA69CA" w:rsidRDefault="00D725A5" w:rsidP="00342CB3">
      <w:pPr>
        <w:widowControl w:val="0"/>
        <w:autoSpaceDE w:val="0"/>
        <w:autoSpaceDN w:val="0"/>
        <w:adjustRightInd w:val="0"/>
        <w:rPr>
          <w:rFonts w:ascii="Arial" w:hAnsi="Arial" w:cs="Arial"/>
          <w:b/>
          <w:bCs/>
          <w:szCs w:val="24"/>
        </w:rPr>
      </w:pPr>
    </w:p>
    <w:p w14:paraId="5C589C87" w14:textId="5A8C8C29" w:rsidR="00E60D20" w:rsidRPr="00B00517" w:rsidRDefault="00F5059D" w:rsidP="00973A4A">
      <w:pPr>
        <w:rPr>
          <w:rFonts w:cs="Arial"/>
          <w:sz w:val="28"/>
          <w:szCs w:val="28"/>
          <w:u w:val="single"/>
        </w:rPr>
      </w:pPr>
      <w:r w:rsidRPr="00B00517">
        <w:rPr>
          <w:rFonts w:cs="Arial"/>
          <w:sz w:val="28"/>
          <w:szCs w:val="28"/>
          <w:u w:val="single"/>
        </w:rPr>
        <w:t xml:space="preserve">Item 4 - </w:t>
      </w:r>
      <w:r w:rsidR="00E60D20" w:rsidRPr="00B00517">
        <w:rPr>
          <w:rFonts w:cs="Arial"/>
          <w:sz w:val="28"/>
          <w:szCs w:val="28"/>
          <w:u w:val="single"/>
        </w:rPr>
        <w:t>Other Business Activities</w:t>
      </w:r>
    </w:p>
    <w:p w14:paraId="5371A414" w14:textId="77777777" w:rsidR="00B00517" w:rsidRDefault="00B00517" w:rsidP="00B00517"/>
    <w:p w14:paraId="016903CF" w14:textId="2481D1A2" w:rsidR="00913028" w:rsidRPr="00BA69CA" w:rsidRDefault="00E60D20" w:rsidP="00B00517">
      <w:r w:rsidRPr="00BA69CA">
        <w:t>John H. Robinson</w:t>
      </w:r>
      <w:r w:rsidR="00683372">
        <w:t xml:space="preserve"> </w:t>
      </w:r>
      <w:r w:rsidR="00913028" w:rsidRPr="00403ADD">
        <w:rPr>
          <w:rFonts w:cs="Arial"/>
          <w:szCs w:val="24"/>
        </w:rPr>
        <w:t xml:space="preserve">maintains a life, accident, and health insurance license. </w:t>
      </w:r>
    </w:p>
    <w:p w14:paraId="05C33151" w14:textId="77777777" w:rsidR="008351CE" w:rsidRPr="00BA69CA" w:rsidRDefault="008351CE" w:rsidP="00D8021C">
      <w:pPr>
        <w:widowControl w:val="0"/>
        <w:overflowPunct w:val="0"/>
        <w:autoSpaceDE w:val="0"/>
        <w:autoSpaceDN w:val="0"/>
        <w:adjustRightInd w:val="0"/>
        <w:rPr>
          <w:rFonts w:ascii="Arial" w:hAnsi="Arial" w:cs="Arial"/>
          <w:sz w:val="20"/>
          <w:szCs w:val="20"/>
        </w:rPr>
      </w:pPr>
    </w:p>
    <w:p w14:paraId="38303690" w14:textId="2BCA2A3D" w:rsidR="008E4DB2" w:rsidRPr="00BA69CA" w:rsidRDefault="008E4DB2" w:rsidP="00D8021C">
      <w:pPr>
        <w:widowControl w:val="0"/>
        <w:overflowPunct w:val="0"/>
        <w:autoSpaceDE w:val="0"/>
        <w:autoSpaceDN w:val="0"/>
        <w:adjustRightInd w:val="0"/>
        <w:rPr>
          <w:rFonts w:ascii="Arial" w:hAnsi="Arial" w:cs="Arial"/>
          <w:sz w:val="20"/>
          <w:szCs w:val="20"/>
        </w:rPr>
        <w:sectPr w:rsidR="008E4DB2" w:rsidRPr="00BA69CA" w:rsidSect="000E55D5">
          <w:type w:val="continuous"/>
          <w:pgSz w:w="12240" w:h="15840" w:code="1"/>
          <w:pgMar w:top="1420" w:right="1440" w:bottom="778" w:left="1440" w:header="720" w:footer="720" w:gutter="0"/>
          <w:cols w:space="720" w:equalWidth="0">
            <w:col w:w="9360"/>
          </w:cols>
          <w:noEndnote/>
        </w:sectPr>
      </w:pPr>
    </w:p>
    <w:p w14:paraId="2CAA10F3" w14:textId="77777777" w:rsidR="00342CB3" w:rsidRPr="00BA69CA" w:rsidRDefault="00342CB3" w:rsidP="00342CB3">
      <w:pPr>
        <w:widowControl w:val="0"/>
        <w:autoSpaceDE w:val="0"/>
        <w:autoSpaceDN w:val="0"/>
        <w:adjustRightInd w:val="0"/>
        <w:spacing w:line="186" w:lineRule="exact"/>
        <w:rPr>
          <w:rFonts w:ascii="Times New Roman" w:hAnsi="Times New Roman"/>
          <w:szCs w:val="24"/>
        </w:rPr>
      </w:pPr>
    </w:p>
    <w:p w14:paraId="1358FD91" w14:textId="43729C2E" w:rsidR="00342CB3" w:rsidRPr="00B00517" w:rsidRDefault="00F5059D" w:rsidP="00973A4A">
      <w:pPr>
        <w:rPr>
          <w:rFonts w:cs="Arial"/>
          <w:sz w:val="28"/>
          <w:szCs w:val="28"/>
          <w:u w:val="single"/>
        </w:rPr>
      </w:pPr>
      <w:r w:rsidRPr="00B00517">
        <w:rPr>
          <w:rFonts w:cs="Arial"/>
          <w:sz w:val="28"/>
          <w:szCs w:val="28"/>
          <w:u w:val="single"/>
        </w:rPr>
        <w:t xml:space="preserve">Item 5 - </w:t>
      </w:r>
      <w:r w:rsidR="00342CB3" w:rsidRPr="00B00517">
        <w:rPr>
          <w:rFonts w:cs="Arial"/>
          <w:sz w:val="28"/>
          <w:szCs w:val="28"/>
          <w:u w:val="single"/>
        </w:rPr>
        <w:t>Additional Compensation</w:t>
      </w:r>
    </w:p>
    <w:p w14:paraId="3492B9D1" w14:textId="77777777" w:rsidR="00B00517" w:rsidRDefault="00B00517" w:rsidP="00342CB3">
      <w:pPr>
        <w:widowControl w:val="0"/>
        <w:overflowPunct w:val="0"/>
        <w:autoSpaceDE w:val="0"/>
        <w:autoSpaceDN w:val="0"/>
        <w:adjustRightInd w:val="0"/>
        <w:spacing w:line="257" w:lineRule="auto"/>
        <w:ind w:right="100"/>
        <w:rPr>
          <w:rFonts w:ascii="Arial" w:hAnsi="Arial" w:cs="Arial"/>
          <w:sz w:val="20"/>
          <w:szCs w:val="20"/>
        </w:rPr>
      </w:pPr>
    </w:p>
    <w:p w14:paraId="3A36FD57" w14:textId="0D7EA3D1" w:rsidR="00342CB3" w:rsidRDefault="007126A3" w:rsidP="00D70DAF">
      <w:r>
        <w:t>John H. Robinson does not receive economic benefits from anyone who is not a client for providing investment advisory services to clients of Financial Planning Hawaii.</w:t>
      </w:r>
    </w:p>
    <w:p w14:paraId="1A833F4A" w14:textId="77777777" w:rsidR="00973A4A" w:rsidRPr="00BA69CA" w:rsidRDefault="00973A4A" w:rsidP="00342CB3">
      <w:pPr>
        <w:widowControl w:val="0"/>
        <w:overflowPunct w:val="0"/>
        <w:autoSpaceDE w:val="0"/>
        <w:autoSpaceDN w:val="0"/>
        <w:adjustRightInd w:val="0"/>
        <w:spacing w:line="257" w:lineRule="auto"/>
        <w:ind w:right="100"/>
        <w:rPr>
          <w:rFonts w:ascii="Times New Roman" w:hAnsi="Times New Roman"/>
          <w:szCs w:val="24"/>
        </w:rPr>
      </w:pPr>
    </w:p>
    <w:p w14:paraId="6AA1C327" w14:textId="77777777" w:rsidR="00342CB3" w:rsidRPr="00BA69CA" w:rsidRDefault="00342CB3" w:rsidP="00342CB3">
      <w:pPr>
        <w:widowControl w:val="0"/>
        <w:autoSpaceDE w:val="0"/>
        <w:autoSpaceDN w:val="0"/>
        <w:adjustRightInd w:val="0"/>
        <w:spacing w:line="176" w:lineRule="exact"/>
        <w:rPr>
          <w:rFonts w:ascii="Times New Roman" w:hAnsi="Times New Roman"/>
          <w:szCs w:val="24"/>
        </w:rPr>
      </w:pPr>
    </w:p>
    <w:p w14:paraId="5AC8931F" w14:textId="343B9B55" w:rsidR="00342CB3" w:rsidRPr="00B00517" w:rsidRDefault="00F5059D" w:rsidP="00973A4A">
      <w:pPr>
        <w:rPr>
          <w:rFonts w:cs="Arial"/>
          <w:sz w:val="28"/>
          <w:szCs w:val="28"/>
          <w:u w:val="single"/>
        </w:rPr>
      </w:pPr>
      <w:r w:rsidRPr="00B00517">
        <w:rPr>
          <w:rFonts w:cs="Arial"/>
          <w:sz w:val="28"/>
          <w:szCs w:val="28"/>
          <w:u w:val="single"/>
        </w:rPr>
        <w:t xml:space="preserve">Item 6 - </w:t>
      </w:r>
      <w:r w:rsidR="00342CB3" w:rsidRPr="00B00517">
        <w:rPr>
          <w:rFonts w:cs="Arial"/>
          <w:sz w:val="28"/>
          <w:szCs w:val="28"/>
          <w:u w:val="single"/>
        </w:rPr>
        <w:t>Supervision</w:t>
      </w:r>
    </w:p>
    <w:p w14:paraId="27D92277" w14:textId="77777777" w:rsidR="00B00517" w:rsidRDefault="00B00517" w:rsidP="00342CB3">
      <w:pPr>
        <w:widowControl w:val="0"/>
        <w:overflowPunct w:val="0"/>
        <w:autoSpaceDE w:val="0"/>
        <w:autoSpaceDN w:val="0"/>
        <w:adjustRightInd w:val="0"/>
        <w:spacing w:line="269" w:lineRule="auto"/>
        <w:ind w:right="80"/>
        <w:rPr>
          <w:rFonts w:ascii="Arial" w:hAnsi="Arial" w:cs="Arial"/>
          <w:sz w:val="19"/>
          <w:szCs w:val="19"/>
        </w:rPr>
      </w:pPr>
    </w:p>
    <w:p w14:paraId="140E70B0" w14:textId="7BEF5692" w:rsidR="00342CB3" w:rsidRDefault="00342CB3" w:rsidP="00D70DAF">
      <w:r w:rsidRPr="00BA69CA">
        <w:t>John H. Robinson is the designated supervisor for FPH responsible for providing supervisory oversight regarding FPH’s financial planning business. Mr. Robinson’s contact information is (808)</w:t>
      </w:r>
      <w:r w:rsidR="00BA69CA" w:rsidRPr="00BA69CA">
        <w:t xml:space="preserve"> </w:t>
      </w:r>
      <w:r w:rsidRPr="00BA69CA">
        <w:t>564-0654. All supervision is performed on a regular basis where all financial planning activity is reviewed and approved by Mr. Robinson as well as a review of financial planning service and the issuance of financial plans.</w:t>
      </w:r>
    </w:p>
    <w:p w14:paraId="2FB1722C" w14:textId="77777777" w:rsidR="00973A4A" w:rsidRPr="00BA69CA" w:rsidRDefault="00973A4A" w:rsidP="00342CB3">
      <w:pPr>
        <w:widowControl w:val="0"/>
        <w:overflowPunct w:val="0"/>
        <w:autoSpaceDE w:val="0"/>
        <w:autoSpaceDN w:val="0"/>
        <w:adjustRightInd w:val="0"/>
        <w:spacing w:line="269" w:lineRule="auto"/>
        <w:ind w:right="80"/>
        <w:rPr>
          <w:rFonts w:ascii="Times New Roman" w:hAnsi="Times New Roman"/>
          <w:szCs w:val="24"/>
        </w:rPr>
      </w:pPr>
    </w:p>
    <w:p w14:paraId="0905C404" w14:textId="77777777" w:rsidR="00342CB3" w:rsidRPr="00BA69CA" w:rsidRDefault="00342CB3" w:rsidP="00342CB3">
      <w:pPr>
        <w:widowControl w:val="0"/>
        <w:autoSpaceDE w:val="0"/>
        <w:autoSpaceDN w:val="0"/>
        <w:adjustRightInd w:val="0"/>
        <w:spacing w:line="213" w:lineRule="exact"/>
        <w:rPr>
          <w:rFonts w:ascii="Times New Roman" w:hAnsi="Times New Roman"/>
          <w:szCs w:val="24"/>
        </w:rPr>
      </w:pPr>
    </w:p>
    <w:p w14:paraId="3D3D8A25" w14:textId="043D906F" w:rsidR="00342CB3" w:rsidRPr="00B00517" w:rsidRDefault="00F5059D" w:rsidP="00973A4A">
      <w:pPr>
        <w:rPr>
          <w:rFonts w:cs="Arial"/>
          <w:sz w:val="28"/>
          <w:szCs w:val="28"/>
          <w:u w:val="single"/>
        </w:rPr>
      </w:pPr>
      <w:r w:rsidRPr="00B00517">
        <w:rPr>
          <w:rFonts w:cs="Arial"/>
          <w:sz w:val="28"/>
          <w:szCs w:val="28"/>
          <w:u w:val="single"/>
        </w:rPr>
        <w:t xml:space="preserve">Item 7 - </w:t>
      </w:r>
      <w:r w:rsidR="00342CB3" w:rsidRPr="00B00517">
        <w:rPr>
          <w:rFonts w:cs="Arial"/>
          <w:sz w:val="28"/>
          <w:szCs w:val="28"/>
          <w:u w:val="single"/>
        </w:rPr>
        <w:t>Requirements for State-Registered Advisers</w:t>
      </w:r>
    </w:p>
    <w:p w14:paraId="767A6397" w14:textId="77777777" w:rsidR="00B00517" w:rsidRDefault="00B00517" w:rsidP="00924EEB">
      <w:pPr>
        <w:widowControl w:val="0"/>
        <w:overflowPunct w:val="0"/>
        <w:autoSpaceDE w:val="0"/>
        <w:autoSpaceDN w:val="0"/>
        <w:adjustRightInd w:val="0"/>
        <w:spacing w:line="251" w:lineRule="auto"/>
        <w:ind w:right="140"/>
        <w:rPr>
          <w:rFonts w:ascii="Arial" w:hAnsi="Arial" w:cs="Arial"/>
          <w:sz w:val="20"/>
          <w:szCs w:val="20"/>
        </w:rPr>
      </w:pPr>
    </w:p>
    <w:p w14:paraId="00502859" w14:textId="0575C8C9" w:rsidR="00342CB3" w:rsidRPr="00113DC9" w:rsidRDefault="00342CB3" w:rsidP="00D70DAF">
      <w:pPr>
        <w:rPr>
          <w:rFonts w:ascii="Times New Roman" w:hAnsi="Times New Roman"/>
          <w:szCs w:val="24"/>
        </w:rPr>
      </w:pPr>
      <w:r w:rsidRPr="00113DC9">
        <w:t xml:space="preserve">None of the </w:t>
      </w:r>
      <w:r w:rsidR="002D5F74">
        <w:t>Supervised Person</w:t>
      </w:r>
      <w:r w:rsidRPr="00113DC9">
        <w:t xml:space="preserve">s listed above as part of this Brochure Supplement have been involved in any disclosure event where they were found liable in an arbitration claim alleging damages </w:t>
      </w:r>
      <w:r w:rsidR="00E507B7" w:rsidRPr="00113DC9">
        <w:t>more than</w:t>
      </w:r>
      <w:r w:rsidRPr="00113DC9">
        <w:t xml:space="preserve"> $2,500, or found liable in a civil, self-regulatory organization, or administrative proceeding; or have been the subject of a bankruptcy petition.</w:t>
      </w:r>
    </w:p>
    <w:p w14:paraId="0F11B18D" w14:textId="66FA5F08" w:rsidR="00E71F1F" w:rsidRDefault="00E71F1F">
      <w:pPr>
        <w:rPr>
          <w:rFonts w:ascii="Times New Roman" w:hAnsi="Times New Roman"/>
          <w:szCs w:val="24"/>
        </w:rPr>
      </w:pPr>
      <w:r>
        <w:rPr>
          <w:rFonts w:ascii="Times New Roman" w:hAnsi="Times New Roman"/>
          <w:szCs w:val="24"/>
        </w:rPr>
        <w:br w:type="page"/>
      </w:r>
    </w:p>
    <w:p w14:paraId="2E1C9ECF" w14:textId="77777777" w:rsidR="00342CB3" w:rsidRDefault="00342CB3" w:rsidP="00342CB3">
      <w:pPr>
        <w:widowControl w:val="0"/>
        <w:autoSpaceDE w:val="0"/>
        <w:autoSpaceDN w:val="0"/>
        <w:adjustRightInd w:val="0"/>
        <w:rPr>
          <w:rFonts w:ascii="Times New Roman" w:hAnsi="Times New Roman"/>
          <w:szCs w:val="24"/>
        </w:rPr>
        <w:sectPr w:rsidR="00342CB3" w:rsidSect="000E55D5">
          <w:type w:val="continuous"/>
          <w:pgSz w:w="12240" w:h="15840" w:code="1"/>
          <w:pgMar w:top="1424" w:right="1440" w:bottom="778" w:left="1440" w:header="720" w:footer="720" w:gutter="0"/>
          <w:cols w:space="720" w:equalWidth="0">
            <w:col w:w="9360"/>
          </w:cols>
          <w:noEndnote/>
        </w:sectPr>
      </w:pPr>
    </w:p>
    <w:p w14:paraId="37E5574C" w14:textId="77777777" w:rsidR="00E507B7" w:rsidRDefault="00E507B7" w:rsidP="00E507B7">
      <w:pPr>
        <w:widowControl w:val="0"/>
        <w:autoSpaceDE w:val="0"/>
        <w:autoSpaceDN w:val="0"/>
        <w:adjustRightInd w:val="0"/>
        <w:rPr>
          <w:rFonts w:ascii="Arial" w:hAnsi="Arial" w:cs="Arial"/>
          <w:sz w:val="40"/>
          <w:szCs w:val="40"/>
        </w:rPr>
      </w:pPr>
    </w:p>
    <w:p w14:paraId="2A5A7909" w14:textId="77777777" w:rsidR="00E507B7" w:rsidRDefault="00E507B7" w:rsidP="00E507B7">
      <w:pPr>
        <w:widowControl w:val="0"/>
        <w:autoSpaceDE w:val="0"/>
        <w:autoSpaceDN w:val="0"/>
        <w:adjustRightInd w:val="0"/>
        <w:rPr>
          <w:rFonts w:ascii="Arial" w:hAnsi="Arial" w:cs="Arial"/>
          <w:sz w:val="40"/>
          <w:szCs w:val="40"/>
        </w:rPr>
      </w:pPr>
    </w:p>
    <w:p w14:paraId="5C52210D" w14:textId="77777777" w:rsidR="00E507B7" w:rsidRDefault="00E507B7" w:rsidP="00E507B7">
      <w:pPr>
        <w:widowControl w:val="0"/>
        <w:autoSpaceDE w:val="0"/>
        <w:autoSpaceDN w:val="0"/>
        <w:adjustRightInd w:val="0"/>
        <w:rPr>
          <w:rFonts w:ascii="Arial" w:hAnsi="Arial" w:cs="Arial"/>
          <w:sz w:val="40"/>
          <w:szCs w:val="40"/>
        </w:rPr>
      </w:pPr>
    </w:p>
    <w:p w14:paraId="3CC46E86" w14:textId="666EE804" w:rsidR="00E507B7" w:rsidRPr="00D70DAF" w:rsidRDefault="00020C7C" w:rsidP="00E507B7">
      <w:pPr>
        <w:widowControl w:val="0"/>
        <w:autoSpaceDE w:val="0"/>
        <w:autoSpaceDN w:val="0"/>
        <w:adjustRightInd w:val="0"/>
        <w:rPr>
          <w:sz w:val="40"/>
          <w:szCs w:val="40"/>
        </w:rPr>
      </w:pPr>
      <w:r>
        <w:rPr>
          <w:rFonts w:cs="Arial"/>
          <w:sz w:val="40"/>
          <w:szCs w:val="40"/>
        </w:rPr>
        <w:t>Part 2B of Form ADV</w:t>
      </w:r>
    </w:p>
    <w:p w14:paraId="56D0F23B" w14:textId="2D33CEBD" w:rsidR="00E507B7" w:rsidRPr="00E507B7" w:rsidRDefault="00E507B7" w:rsidP="00E507B7">
      <w:pPr>
        <w:pStyle w:val="Heading1"/>
        <w:rPr>
          <w:rFonts w:ascii="Times New Roman" w:hAnsi="Times New Roman"/>
        </w:rPr>
      </w:pPr>
      <w:bookmarkStart w:id="30" w:name="_Toc208132684"/>
      <w:r w:rsidRPr="00E507B7">
        <w:t>Brochure Supplement:</w:t>
      </w:r>
      <w:r>
        <w:t xml:space="preserve"> </w:t>
      </w:r>
      <w:r w:rsidR="00D327A2">
        <w:t>Susan Gabor, CFP</w:t>
      </w:r>
      <w:bookmarkEnd w:id="30"/>
    </w:p>
    <w:p w14:paraId="66EE20F1" w14:textId="46B22F11" w:rsidR="00E71F1F" w:rsidRPr="00BA69CA" w:rsidRDefault="00E71F1F" w:rsidP="00E71F1F">
      <w:pPr>
        <w:widowControl w:val="0"/>
        <w:autoSpaceDE w:val="0"/>
        <w:autoSpaceDN w:val="0"/>
        <w:adjustRightInd w:val="0"/>
        <w:rPr>
          <w:rFonts w:ascii="Times New Roman" w:hAnsi="Times New Roman"/>
          <w:szCs w:val="24"/>
        </w:rPr>
      </w:pPr>
    </w:p>
    <w:p w14:paraId="5872AE9E" w14:textId="77777777" w:rsidR="00E71F1F" w:rsidRPr="00BA69CA" w:rsidRDefault="00E71F1F" w:rsidP="00E71F1F">
      <w:pPr>
        <w:widowControl w:val="0"/>
        <w:autoSpaceDE w:val="0"/>
        <w:autoSpaceDN w:val="0"/>
        <w:adjustRightInd w:val="0"/>
        <w:spacing w:line="382" w:lineRule="exact"/>
        <w:rPr>
          <w:rFonts w:ascii="Times New Roman" w:hAnsi="Times New Roman"/>
          <w:szCs w:val="24"/>
        </w:rPr>
      </w:pPr>
    </w:p>
    <w:p w14:paraId="42A1C0E9" w14:textId="32B99C71" w:rsidR="00E71F1F" w:rsidRPr="00D70DAF" w:rsidRDefault="00134E0F" w:rsidP="00E71F1F">
      <w:pPr>
        <w:widowControl w:val="0"/>
        <w:autoSpaceDE w:val="0"/>
        <w:autoSpaceDN w:val="0"/>
        <w:adjustRightInd w:val="0"/>
        <w:rPr>
          <w:szCs w:val="24"/>
        </w:rPr>
      </w:pPr>
      <w:r>
        <w:rPr>
          <w:rFonts w:cs="Arial"/>
          <w:sz w:val="32"/>
          <w:szCs w:val="32"/>
        </w:rPr>
        <w:t>September 1</w:t>
      </w:r>
      <w:r w:rsidR="009C4336">
        <w:rPr>
          <w:rFonts w:cs="Arial"/>
          <w:sz w:val="32"/>
          <w:szCs w:val="32"/>
        </w:rPr>
        <w:t>, 2025</w:t>
      </w:r>
    </w:p>
    <w:p w14:paraId="5272787F"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0C856F6A"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760FEFB9"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5C6C9194"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4C19C0E4"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1309DAC6" w14:textId="77777777" w:rsidR="00E71F1F" w:rsidRPr="00BA69CA" w:rsidRDefault="00E71F1F" w:rsidP="00E71F1F">
      <w:pPr>
        <w:widowControl w:val="0"/>
        <w:autoSpaceDE w:val="0"/>
        <w:autoSpaceDN w:val="0"/>
        <w:adjustRightInd w:val="0"/>
        <w:spacing w:line="246" w:lineRule="exact"/>
        <w:rPr>
          <w:rFonts w:ascii="Times New Roman" w:hAnsi="Times New Roman"/>
          <w:szCs w:val="24"/>
        </w:rPr>
      </w:pPr>
    </w:p>
    <w:p w14:paraId="2FA6D929"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2EE5B4B7" w14:textId="77777777" w:rsidR="00E71F1F" w:rsidRPr="00BA69CA" w:rsidRDefault="00E71F1F" w:rsidP="00E71F1F">
      <w:pPr>
        <w:widowControl w:val="0"/>
        <w:autoSpaceDE w:val="0"/>
        <w:autoSpaceDN w:val="0"/>
        <w:adjustRightInd w:val="0"/>
        <w:spacing w:line="351" w:lineRule="exact"/>
        <w:rPr>
          <w:rFonts w:ascii="Times New Roman" w:hAnsi="Times New Roman"/>
          <w:szCs w:val="24"/>
        </w:rPr>
      </w:pPr>
    </w:p>
    <w:p w14:paraId="3B736C04" w14:textId="77777777" w:rsidR="00E507B7" w:rsidRDefault="00E507B7" w:rsidP="00E71F1F">
      <w:pPr>
        <w:widowControl w:val="0"/>
        <w:autoSpaceDE w:val="0"/>
        <w:autoSpaceDN w:val="0"/>
        <w:adjustRightInd w:val="0"/>
        <w:rPr>
          <w:rFonts w:ascii="Arial" w:hAnsi="Arial" w:cs="Arial"/>
          <w:szCs w:val="24"/>
        </w:rPr>
      </w:pPr>
    </w:p>
    <w:p w14:paraId="3D529A83" w14:textId="2CBBCB4F" w:rsidR="00E71F1F" w:rsidRPr="00D70DAF" w:rsidRDefault="00E71F1F" w:rsidP="00E71F1F">
      <w:pPr>
        <w:widowControl w:val="0"/>
        <w:autoSpaceDE w:val="0"/>
        <w:autoSpaceDN w:val="0"/>
        <w:adjustRightInd w:val="0"/>
        <w:rPr>
          <w:szCs w:val="24"/>
        </w:rPr>
      </w:pPr>
      <w:r w:rsidRPr="00D70DAF">
        <w:rPr>
          <w:rFonts w:cs="Arial"/>
          <w:szCs w:val="24"/>
        </w:rPr>
        <w:t>Financial Planning Hawaii, Inc.</w:t>
      </w:r>
    </w:p>
    <w:p w14:paraId="24FE58C0" w14:textId="77777777" w:rsidR="00E71F1F" w:rsidRPr="00D70DAF" w:rsidRDefault="00E71F1F" w:rsidP="00E71F1F">
      <w:pPr>
        <w:widowControl w:val="0"/>
        <w:autoSpaceDE w:val="0"/>
        <w:autoSpaceDN w:val="0"/>
        <w:adjustRightInd w:val="0"/>
        <w:rPr>
          <w:rFonts w:cs="Arial"/>
          <w:szCs w:val="24"/>
        </w:rPr>
      </w:pPr>
      <w:r w:rsidRPr="00D70DAF">
        <w:rPr>
          <w:rFonts w:cs="Arial"/>
          <w:szCs w:val="24"/>
        </w:rPr>
        <w:t>677 Ala Moana Blvd.</w:t>
      </w:r>
    </w:p>
    <w:p w14:paraId="4C9F8A54" w14:textId="77777777" w:rsidR="00E71F1F" w:rsidRPr="00D70DAF" w:rsidRDefault="00E71F1F" w:rsidP="00E71F1F">
      <w:pPr>
        <w:widowControl w:val="0"/>
        <w:autoSpaceDE w:val="0"/>
        <w:autoSpaceDN w:val="0"/>
        <w:adjustRightInd w:val="0"/>
        <w:rPr>
          <w:szCs w:val="24"/>
        </w:rPr>
      </w:pPr>
      <w:r w:rsidRPr="00D70DAF">
        <w:rPr>
          <w:rFonts w:cs="Arial"/>
          <w:szCs w:val="24"/>
        </w:rPr>
        <w:t>Suite 605</w:t>
      </w:r>
    </w:p>
    <w:p w14:paraId="1F8A846C" w14:textId="77777777" w:rsidR="00E71F1F" w:rsidRPr="00D70DAF" w:rsidRDefault="00E71F1F" w:rsidP="00E71F1F">
      <w:pPr>
        <w:widowControl w:val="0"/>
        <w:autoSpaceDE w:val="0"/>
        <w:autoSpaceDN w:val="0"/>
        <w:adjustRightInd w:val="0"/>
        <w:rPr>
          <w:szCs w:val="24"/>
        </w:rPr>
      </w:pPr>
      <w:r w:rsidRPr="00D70DAF">
        <w:rPr>
          <w:rFonts w:cs="Arial"/>
          <w:szCs w:val="24"/>
        </w:rPr>
        <w:t>Honolulu, HI 96813</w:t>
      </w:r>
    </w:p>
    <w:p w14:paraId="2006D6CA" w14:textId="77777777" w:rsidR="00E71F1F" w:rsidRPr="00D70DAF" w:rsidRDefault="00E71F1F" w:rsidP="00E71F1F">
      <w:pPr>
        <w:widowControl w:val="0"/>
        <w:autoSpaceDE w:val="0"/>
        <w:autoSpaceDN w:val="0"/>
        <w:adjustRightInd w:val="0"/>
        <w:rPr>
          <w:szCs w:val="24"/>
        </w:rPr>
      </w:pPr>
      <w:r w:rsidRPr="00D70DAF">
        <w:rPr>
          <w:rFonts w:cs="Arial"/>
          <w:szCs w:val="24"/>
        </w:rPr>
        <w:t>Office (808)564-0654</w:t>
      </w:r>
    </w:p>
    <w:p w14:paraId="416AB5A9" w14:textId="77777777" w:rsidR="00E71F1F" w:rsidRPr="00D70DAF" w:rsidRDefault="00E71F1F" w:rsidP="00E71F1F">
      <w:pPr>
        <w:widowControl w:val="0"/>
        <w:autoSpaceDE w:val="0"/>
        <w:autoSpaceDN w:val="0"/>
        <w:adjustRightInd w:val="0"/>
        <w:rPr>
          <w:szCs w:val="24"/>
        </w:rPr>
      </w:pPr>
      <w:r w:rsidRPr="00D70DAF">
        <w:rPr>
          <w:rFonts w:cs="Arial"/>
          <w:szCs w:val="24"/>
        </w:rPr>
        <w:t>Fax (808) 466-4052</w:t>
      </w:r>
    </w:p>
    <w:p w14:paraId="35C7E9AA" w14:textId="7F0FBC3C" w:rsidR="00E71F1F" w:rsidRPr="00D70DAF" w:rsidRDefault="00E71F1F" w:rsidP="00E71F1F">
      <w:pPr>
        <w:widowControl w:val="0"/>
        <w:autoSpaceDE w:val="0"/>
        <w:autoSpaceDN w:val="0"/>
        <w:adjustRightInd w:val="0"/>
        <w:rPr>
          <w:szCs w:val="24"/>
        </w:rPr>
      </w:pPr>
      <w:r w:rsidRPr="00D70DAF">
        <w:rPr>
          <w:rFonts w:cs="Arial"/>
          <w:color w:val="0000FF"/>
          <w:szCs w:val="24"/>
          <w:u w:val="single"/>
        </w:rPr>
        <w:t>www.f</w:t>
      </w:r>
      <w:r w:rsidR="00C10ACC" w:rsidRPr="00D70DAF">
        <w:rPr>
          <w:rFonts w:cs="Arial"/>
          <w:color w:val="0000FF"/>
          <w:szCs w:val="24"/>
          <w:u w:val="single"/>
        </w:rPr>
        <w:t>eeonlyplanninghawaii.com</w:t>
      </w:r>
    </w:p>
    <w:p w14:paraId="515BED5B"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4EADAAA7"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7778A666"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6A94A02C"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62D1A168"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1F2A026D" w14:textId="77777777" w:rsidR="00E71F1F" w:rsidRPr="00BA69CA" w:rsidRDefault="00E71F1F" w:rsidP="00E71F1F">
      <w:pPr>
        <w:widowControl w:val="0"/>
        <w:autoSpaceDE w:val="0"/>
        <w:autoSpaceDN w:val="0"/>
        <w:adjustRightInd w:val="0"/>
        <w:spacing w:line="200" w:lineRule="exact"/>
        <w:rPr>
          <w:rFonts w:ascii="Times New Roman" w:hAnsi="Times New Roman"/>
          <w:szCs w:val="24"/>
        </w:rPr>
      </w:pPr>
    </w:p>
    <w:p w14:paraId="29ABDBCD" w14:textId="77777777" w:rsidR="00E71F1F" w:rsidRPr="00BA69CA" w:rsidRDefault="00E71F1F" w:rsidP="00E71F1F">
      <w:pPr>
        <w:widowControl w:val="0"/>
        <w:autoSpaceDE w:val="0"/>
        <w:autoSpaceDN w:val="0"/>
        <w:adjustRightInd w:val="0"/>
        <w:spacing w:line="370" w:lineRule="exact"/>
        <w:rPr>
          <w:rFonts w:ascii="Times New Roman" w:hAnsi="Times New Roman"/>
          <w:szCs w:val="24"/>
        </w:rPr>
      </w:pPr>
    </w:p>
    <w:p w14:paraId="29891EF0" w14:textId="77777777" w:rsidR="00E507B7" w:rsidRDefault="00E507B7" w:rsidP="00E71F1F">
      <w:pPr>
        <w:widowControl w:val="0"/>
        <w:overflowPunct w:val="0"/>
        <w:autoSpaceDE w:val="0"/>
        <w:autoSpaceDN w:val="0"/>
        <w:adjustRightInd w:val="0"/>
        <w:spacing w:line="253" w:lineRule="auto"/>
        <w:ind w:right="80"/>
        <w:rPr>
          <w:rFonts w:ascii="Arial" w:hAnsi="Arial" w:cs="Arial"/>
          <w:i/>
          <w:iCs/>
          <w:sz w:val="20"/>
          <w:szCs w:val="20"/>
        </w:rPr>
      </w:pPr>
    </w:p>
    <w:p w14:paraId="71C719EE" w14:textId="77777777" w:rsidR="00E507B7" w:rsidRDefault="00E507B7" w:rsidP="00E71F1F">
      <w:pPr>
        <w:widowControl w:val="0"/>
        <w:overflowPunct w:val="0"/>
        <w:autoSpaceDE w:val="0"/>
        <w:autoSpaceDN w:val="0"/>
        <w:adjustRightInd w:val="0"/>
        <w:spacing w:line="253" w:lineRule="auto"/>
        <w:ind w:right="80"/>
        <w:rPr>
          <w:rFonts w:ascii="Arial" w:hAnsi="Arial" w:cs="Arial"/>
          <w:i/>
          <w:iCs/>
          <w:sz w:val="20"/>
          <w:szCs w:val="20"/>
        </w:rPr>
      </w:pPr>
    </w:p>
    <w:p w14:paraId="2FCC0370" w14:textId="77777777" w:rsidR="00E507B7" w:rsidRDefault="00E507B7" w:rsidP="00E71F1F">
      <w:pPr>
        <w:widowControl w:val="0"/>
        <w:overflowPunct w:val="0"/>
        <w:autoSpaceDE w:val="0"/>
        <w:autoSpaceDN w:val="0"/>
        <w:adjustRightInd w:val="0"/>
        <w:spacing w:line="253" w:lineRule="auto"/>
        <w:ind w:right="80"/>
        <w:rPr>
          <w:rFonts w:ascii="Arial" w:hAnsi="Arial" w:cs="Arial"/>
          <w:i/>
          <w:iCs/>
          <w:sz w:val="20"/>
          <w:szCs w:val="20"/>
        </w:rPr>
      </w:pPr>
    </w:p>
    <w:p w14:paraId="3C874B07" w14:textId="77777777" w:rsidR="00E507B7" w:rsidRDefault="00E507B7" w:rsidP="00E71F1F">
      <w:pPr>
        <w:widowControl w:val="0"/>
        <w:overflowPunct w:val="0"/>
        <w:autoSpaceDE w:val="0"/>
        <w:autoSpaceDN w:val="0"/>
        <w:adjustRightInd w:val="0"/>
        <w:spacing w:line="253" w:lineRule="auto"/>
        <w:ind w:right="80"/>
        <w:rPr>
          <w:rFonts w:ascii="Arial" w:hAnsi="Arial" w:cs="Arial"/>
          <w:i/>
          <w:iCs/>
          <w:sz w:val="20"/>
          <w:szCs w:val="20"/>
        </w:rPr>
      </w:pPr>
    </w:p>
    <w:p w14:paraId="5B4CC4A3" w14:textId="77777777" w:rsidR="00E507B7" w:rsidRDefault="00E507B7" w:rsidP="00E71F1F">
      <w:pPr>
        <w:widowControl w:val="0"/>
        <w:overflowPunct w:val="0"/>
        <w:autoSpaceDE w:val="0"/>
        <w:autoSpaceDN w:val="0"/>
        <w:adjustRightInd w:val="0"/>
        <w:spacing w:line="253" w:lineRule="auto"/>
        <w:ind w:right="80"/>
        <w:rPr>
          <w:rFonts w:ascii="Arial" w:hAnsi="Arial" w:cs="Arial"/>
          <w:i/>
          <w:iCs/>
          <w:sz w:val="20"/>
          <w:szCs w:val="20"/>
        </w:rPr>
      </w:pPr>
    </w:p>
    <w:p w14:paraId="198209B9" w14:textId="77777777" w:rsidR="00E507B7" w:rsidRDefault="00E507B7" w:rsidP="00E71F1F">
      <w:pPr>
        <w:widowControl w:val="0"/>
        <w:overflowPunct w:val="0"/>
        <w:autoSpaceDE w:val="0"/>
        <w:autoSpaceDN w:val="0"/>
        <w:adjustRightInd w:val="0"/>
        <w:spacing w:line="253" w:lineRule="auto"/>
        <w:ind w:right="80"/>
        <w:rPr>
          <w:rFonts w:ascii="Arial" w:hAnsi="Arial" w:cs="Arial"/>
          <w:i/>
          <w:iCs/>
          <w:sz w:val="20"/>
          <w:szCs w:val="20"/>
        </w:rPr>
      </w:pPr>
    </w:p>
    <w:p w14:paraId="4CF23E27" w14:textId="77777777" w:rsidR="00D70DAF" w:rsidRDefault="00D70DAF" w:rsidP="00E71F1F">
      <w:pPr>
        <w:widowControl w:val="0"/>
        <w:overflowPunct w:val="0"/>
        <w:autoSpaceDE w:val="0"/>
        <w:autoSpaceDN w:val="0"/>
        <w:adjustRightInd w:val="0"/>
        <w:spacing w:line="253" w:lineRule="auto"/>
        <w:ind w:right="80"/>
        <w:rPr>
          <w:rFonts w:cs="Arial"/>
          <w:szCs w:val="24"/>
        </w:rPr>
      </w:pPr>
    </w:p>
    <w:p w14:paraId="411C16E6" w14:textId="4D57D0A6" w:rsidR="00E71F1F" w:rsidRPr="00D70DAF" w:rsidRDefault="00E71F1F" w:rsidP="00E71F1F">
      <w:pPr>
        <w:widowControl w:val="0"/>
        <w:overflowPunct w:val="0"/>
        <w:autoSpaceDE w:val="0"/>
        <w:autoSpaceDN w:val="0"/>
        <w:adjustRightInd w:val="0"/>
        <w:spacing w:line="253" w:lineRule="auto"/>
        <w:ind w:right="80"/>
        <w:rPr>
          <w:szCs w:val="24"/>
        </w:rPr>
      </w:pPr>
      <w:r w:rsidRPr="00D70DAF">
        <w:rPr>
          <w:rFonts w:cs="Arial"/>
          <w:szCs w:val="24"/>
        </w:rPr>
        <w:t xml:space="preserve">This </w:t>
      </w:r>
      <w:proofErr w:type="gramStart"/>
      <w:r w:rsidRPr="00D70DAF">
        <w:rPr>
          <w:rFonts w:cs="Arial"/>
          <w:szCs w:val="24"/>
        </w:rPr>
        <w:t>brochure supplement</w:t>
      </w:r>
      <w:proofErr w:type="gramEnd"/>
      <w:r w:rsidRPr="00D70DAF">
        <w:rPr>
          <w:rFonts w:cs="Arial"/>
          <w:szCs w:val="24"/>
        </w:rPr>
        <w:t xml:space="preserve"> provides information about the </w:t>
      </w:r>
      <w:r w:rsidR="002D5F74">
        <w:rPr>
          <w:rFonts w:cs="Arial"/>
          <w:szCs w:val="24"/>
        </w:rPr>
        <w:t>Supervised Person</w:t>
      </w:r>
      <w:r w:rsidRPr="00D70DAF">
        <w:rPr>
          <w:rFonts w:cs="Arial"/>
          <w:szCs w:val="24"/>
        </w:rPr>
        <w:t xml:space="preserve"> listed above that supplement</w:t>
      </w:r>
      <w:r w:rsidR="00CD64B9" w:rsidRPr="00D70DAF">
        <w:rPr>
          <w:rFonts w:cs="Arial"/>
          <w:szCs w:val="24"/>
        </w:rPr>
        <w:t>s</w:t>
      </w:r>
      <w:r w:rsidRPr="00D70DAF">
        <w:rPr>
          <w:rFonts w:cs="Arial"/>
          <w:szCs w:val="24"/>
        </w:rPr>
        <w:t xml:space="preserve"> FPH’s brochure. You should have received a copy of that brochure. Please contact John Robinson at (808) 564-0654 and/or via email at </w:t>
      </w:r>
      <w:r w:rsidRPr="00D70DAF">
        <w:rPr>
          <w:rFonts w:cs="Arial"/>
          <w:color w:val="0000FF"/>
          <w:szCs w:val="24"/>
          <w:u w:val="single"/>
        </w:rPr>
        <w:t>jr@fphawaii.com</w:t>
      </w:r>
      <w:r w:rsidRPr="00D70DAF">
        <w:rPr>
          <w:rFonts w:cs="Arial"/>
          <w:szCs w:val="24"/>
        </w:rPr>
        <w:t xml:space="preserve"> if you did not receive FPH’s brochure or if you have any questions about the contents of this supplement.</w:t>
      </w:r>
    </w:p>
    <w:p w14:paraId="6DA73DB5" w14:textId="77777777" w:rsidR="00E71F1F" w:rsidRPr="00D70DAF" w:rsidRDefault="00E71F1F" w:rsidP="00E71F1F">
      <w:pPr>
        <w:widowControl w:val="0"/>
        <w:autoSpaceDE w:val="0"/>
        <w:autoSpaceDN w:val="0"/>
        <w:adjustRightInd w:val="0"/>
        <w:spacing w:line="185" w:lineRule="exact"/>
        <w:rPr>
          <w:szCs w:val="24"/>
        </w:rPr>
      </w:pPr>
    </w:p>
    <w:p w14:paraId="43F745E2" w14:textId="05A05800" w:rsidR="00E71F1F" w:rsidRPr="00D70DAF" w:rsidRDefault="00E71F1F" w:rsidP="00E71F1F">
      <w:pPr>
        <w:widowControl w:val="0"/>
        <w:overflowPunct w:val="0"/>
        <w:autoSpaceDE w:val="0"/>
        <w:autoSpaceDN w:val="0"/>
        <w:adjustRightInd w:val="0"/>
        <w:spacing w:line="275" w:lineRule="auto"/>
        <w:ind w:right="380"/>
        <w:rPr>
          <w:rFonts w:cs="Arial"/>
          <w:szCs w:val="24"/>
        </w:rPr>
      </w:pPr>
      <w:r w:rsidRPr="00D70DAF">
        <w:rPr>
          <w:rFonts w:cs="Arial"/>
          <w:szCs w:val="24"/>
        </w:rPr>
        <w:t xml:space="preserve">Additional information about </w:t>
      </w:r>
      <w:r w:rsidR="00D327A2" w:rsidRPr="00D70DAF">
        <w:rPr>
          <w:rFonts w:cs="Arial"/>
          <w:szCs w:val="24"/>
        </w:rPr>
        <w:t>Susan Gabor</w:t>
      </w:r>
      <w:r w:rsidRPr="00D70DAF">
        <w:rPr>
          <w:rFonts w:cs="Arial"/>
          <w:szCs w:val="24"/>
        </w:rPr>
        <w:t xml:space="preserve"> is also available on the SEC’s website at </w:t>
      </w:r>
      <w:hyperlink r:id="rId9" w:history="1">
        <w:r w:rsidR="00C43FEB" w:rsidRPr="00D70DAF">
          <w:rPr>
            <w:rStyle w:val="Hyperlink"/>
            <w:rFonts w:cs="Arial"/>
            <w:szCs w:val="24"/>
          </w:rPr>
          <w:t>www.adviserinfo.sec.gov</w:t>
        </w:r>
      </w:hyperlink>
      <w:r w:rsidR="00C43FEB" w:rsidRPr="00D70DAF">
        <w:rPr>
          <w:rFonts w:cs="Arial"/>
          <w:szCs w:val="24"/>
        </w:rPr>
        <w:t xml:space="preserve">. The CRD number for </w:t>
      </w:r>
      <w:r w:rsidR="00D327A2" w:rsidRPr="00D70DAF">
        <w:rPr>
          <w:rFonts w:cs="Arial"/>
          <w:szCs w:val="24"/>
        </w:rPr>
        <w:t>Susan Gabor</w:t>
      </w:r>
      <w:r w:rsidR="00345FD5" w:rsidRPr="00D70DAF">
        <w:rPr>
          <w:rFonts w:cs="Arial"/>
          <w:szCs w:val="24"/>
        </w:rPr>
        <w:t xml:space="preserve"> is </w:t>
      </w:r>
      <w:r w:rsidR="006E0043" w:rsidRPr="00D70DAF">
        <w:rPr>
          <w:rFonts w:cs="Arial"/>
          <w:szCs w:val="24"/>
        </w:rPr>
        <w:t>4120190.</w:t>
      </w:r>
    </w:p>
    <w:p w14:paraId="43E22957" w14:textId="77777777" w:rsidR="00E507B7" w:rsidRPr="00BA69CA" w:rsidRDefault="00E507B7" w:rsidP="00E71F1F">
      <w:pPr>
        <w:widowControl w:val="0"/>
        <w:overflowPunct w:val="0"/>
        <w:autoSpaceDE w:val="0"/>
        <w:autoSpaceDN w:val="0"/>
        <w:adjustRightInd w:val="0"/>
        <w:spacing w:line="275" w:lineRule="auto"/>
        <w:ind w:right="380"/>
        <w:rPr>
          <w:rFonts w:ascii="Times New Roman" w:hAnsi="Times New Roman"/>
          <w:szCs w:val="24"/>
        </w:rPr>
      </w:pPr>
    </w:p>
    <w:p w14:paraId="022B7191" w14:textId="5271323F" w:rsidR="007B44E9" w:rsidRPr="00BA69CA" w:rsidRDefault="007B44E9" w:rsidP="00E71F1F">
      <w:pPr>
        <w:widowControl w:val="0"/>
        <w:autoSpaceDE w:val="0"/>
        <w:autoSpaceDN w:val="0"/>
        <w:adjustRightInd w:val="0"/>
        <w:rPr>
          <w:rFonts w:ascii="Times New Roman" w:hAnsi="Times New Roman"/>
          <w:szCs w:val="24"/>
        </w:rPr>
        <w:sectPr w:rsidR="007B44E9" w:rsidRPr="00BA69CA" w:rsidSect="000E55D5">
          <w:pgSz w:w="12240" w:h="15840" w:code="1"/>
          <w:pgMar w:top="1440" w:right="1440" w:bottom="778" w:left="1440" w:header="720" w:footer="720" w:gutter="0"/>
          <w:cols w:space="720" w:equalWidth="0">
            <w:col w:w="9360"/>
          </w:cols>
          <w:noEndnote/>
        </w:sectPr>
      </w:pPr>
    </w:p>
    <w:p w14:paraId="57B08651" w14:textId="77777777" w:rsidR="00E71F1F" w:rsidRPr="00BA69CA" w:rsidRDefault="00E71F1F" w:rsidP="00E71F1F">
      <w:pPr>
        <w:widowControl w:val="0"/>
        <w:autoSpaceDE w:val="0"/>
        <w:autoSpaceDN w:val="0"/>
        <w:adjustRightInd w:val="0"/>
        <w:rPr>
          <w:rFonts w:ascii="Arial" w:hAnsi="Arial" w:cs="Arial"/>
          <w:b/>
          <w:bCs/>
          <w:szCs w:val="24"/>
        </w:rPr>
        <w:sectPr w:rsidR="00E71F1F" w:rsidRPr="00BA69CA" w:rsidSect="000E55D5">
          <w:type w:val="continuous"/>
          <w:pgSz w:w="12240" w:h="15840" w:code="1"/>
          <w:pgMar w:top="1420" w:right="1440" w:bottom="778" w:left="1440" w:header="720" w:footer="720" w:gutter="0"/>
          <w:cols w:space="720" w:equalWidth="0">
            <w:col w:w="9360"/>
          </w:cols>
          <w:noEndnote/>
        </w:sectPr>
      </w:pPr>
    </w:p>
    <w:p w14:paraId="2A1DA593" w14:textId="0B91EC98" w:rsidR="00E71F1F" w:rsidRPr="00403ADD" w:rsidRDefault="00F5059D" w:rsidP="00973A4A">
      <w:pPr>
        <w:rPr>
          <w:rFonts w:cs="Arial"/>
          <w:sz w:val="28"/>
          <w:szCs w:val="28"/>
          <w:u w:val="single"/>
        </w:rPr>
      </w:pPr>
      <w:r w:rsidRPr="00403ADD">
        <w:rPr>
          <w:rFonts w:cs="Arial"/>
          <w:sz w:val="28"/>
          <w:szCs w:val="28"/>
          <w:u w:val="single"/>
        </w:rPr>
        <w:lastRenderedPageBreak/>
        <w:t xml:space="preserve">Item 2 - </w:t>
      </w:r>
      <w:r w:rsidR="00E71F1F" w:rsidRPr="00403ADD">
        <w:rPr>
          <w:rFonts w:cs="Arial"/>
          <w:sz w:val="28"/>
          <w:szCs w:val="28"/>
          <w:u w:val="single"/>
        </w:rPr>
        <w:t xml:space="preserve">Educational Background and </w:t>
      </w:r>
      <w:r w:rsidR="00403ADD">
        <w:rPr>
          <w:rFonts w:cs="Arial"/>
          <w:sz w:val="28"/>
          <w:szCs w:val="28"/>
          <w:u w:val="single"/>
        </w:rPr>
        <w:t xml:space="preserve">Business </w:t>
      </w:r>
      <w:r w:rsidR="00E71F1F" w:rsidRPr="00403ADD">
        <w:rPr>
          <w:rFonts w:cs="Arial"/>
          <w:sz w:val="28"/>
          <w:szCs w:val="28"/>
          <w:u w:val="single"/>
        </w:rPr>
        <w:t>Experience</w:t>
      </w:r>
    </w:p>
    <w:p w14:paraId="7363E0F3" w14:textId="77777777" w:rsidR="00E71F1F" w:rsidRPr="00BA69CA" w:rsidRDefault="00E71F1F" w:rsidP="00E71F1F">
      <w:pPr>
        <w:widowControl w:val="0"/>
        <w:autoSpaceDE w:val="0"/>
        <w:autoSpaceDN w:val="0"/>
        <w:adjustRightInd w:val="0"/>
        <w:spacing w:line="192" w:lineRule="exact"/>
        <w:rPr>
          <w:rFonts w:ascii="Times New Roman" w:hAnsi="Times New Roman"/>
          <w:szCs w:val="24"/>
        </w:rPr>
      </w:pPr>
    </w:p>
    <w:p w14:paraId="59B9BB6B" w14:textId="6BC5DD00" w:rsidR="00E71F1F" w:rsidRPr="00BA69CA" w:rsidRDefault="00E71F1F" w:rsidP="00B00517">
      <w:r w:rsidRPr="00BA69CA">
        <w:t xml:space="preserve">Name: </w:t>
      </w:r>
      <w:r w:rsidR="00BD3507">
        <w:t>Susan Gabor</w:t>
      </w:r>
      <w:r w:rsidRPr="00BA69CA">
        <w:t xml:space="preserve"> </w:t>
      </w:r>
    </w:p>
    <w:p w14:paraId="5FEE1B6B" w14:textId="77777777" w:rsidR="00403ADD" w:rsidRPr="00B00517" w:rsidRDefault="00753E49" w:rsidP="00B00517">
      <w:pPr>
        <w:rPr>
          <w:rFonts w:ascii="Times New Roman" w:hAnsi="Times New Roman"/>
          <w:szCs w:val="24"/>
        </w:rPr>
      </w:pPr>
      <w:r>
        <w:t>Year</w:t>
      </w:r>
      <w:r w:rsidR="00E71F1F" w:rsidRPr="00BA69CA">
        <w:t xml:space="preserve"> of Birth: 19</w:t>
      </w:r>
      <w:r w:rsidR="00BD3507">
        <w:t>71</w:t>
      </w:r>
    </w:p>
    <w:p w14:paraId="5BBD6A5F" w14:textId="77777777" w:rsidR="00403ADD" w:rsidRPr="00B00517" w:rsidRDefault="00E71F1F" w:rsidP="00B00517">
      <w:pPr>
        <w:rPr>
          <w:rFonts w:ascii="Times New Roman" w:hAnsi="Times New Roman"/>
          <w:szCs w:val="24"/>
        </w:rPr>
      </w:pPr>
      <w:r w:rsidRPr="00BA69CA">
        <w:t>Education:</w:t>
      </w:r>
      <w:r w:rsidR="00FC0694">
        <w:tab/>
      </w:r>
      <w:r w:rsidR="0027458D">
        <w:t>Bachelor of Arts – Psychology – Moravia Colle</w:t>
      </w:r>
      <w:r w:rsidR="00C74D3D">
        <w:t>ge</w:t>
      </w:r>
    </w:p>
    <w:p w14:paraId="44EFF30C" w14:textId="77777777" w:rsidR="00B00517" w:rsidRDefault="00403ADD" w:rsidP="00B00517">
      <w:pPr>
        <w:rPr>
          <w:sz w:val="19"/>
          <w:szCs w:val="19"/>
        </w:rPr>
      </w:pPr>
      <w:r>
        <w:t>Business Experience</w:t>
      </w:r>
      <w:r w:rsidR="00E71F1F" w:rsidRPr="00E66C2B">
        <w:t>:</w:t>
      </w:r>
    </w:p>
    <w:p w14:paraId="58CD6AFC" w14:textId="77777777" w:rsidR="00B00517" w:rsidRPr="00B00517" w:rsidRDefault="00E71F1F" w:rsidP="00E66C2B">
      <w:pPr>
        <w:pStyle w:val="ListParagraph"/>
        <w:numPr>
          <w:ilvl w:val="0"/>
          <w:numId w:val="15"/>
        </w:numPr>
        <w:rPr>
          <w:rFonts w:ascii="Times New Roman" w:hAnsi="Times New Roman"/>
          <w:szCs w:val="24"/>
        </w:rPr>
      </w:pPr>
      <w:r w:rsidRPr="00BA69CA">
        <w:t>Financial Planning Hawaii, Inc. (</w:t>
      </w:r>
      <w:r w:rsidR="00C74D3D">
        <w:t>October 2023</w:t>
      </w:r>
      <w:r w:rsidRPr="00BA69CA">
        <w:t xml:space="preserve"> – Present) – </w:t>
      </w:r>
      <w:r w:rsidR="00C74D3D">
        <w:t>Financial Planner</w:t>
      </w:r>
    </w:p>
    <w:p w14:paraId="7B3E1DB4" w14:textId="2761465C" w:rsidR="00B00517" w:rsidRPr="00B00517" w:rsidRDefault="00E71F1F" w:rsidP="00E66C2B">
      <w:pPr>
        <w:pStyle w:val="ListParagraph"/>
        <w:numPr>
          <w:ilvl w:val="0"/>
          <w:numId w:val="15"/>
        </w:numPr>
        <w:rPr>
          <w:rFonts w:ascii="Times New Roman" w:hAnsi="Times New Roman"/>
          <w:szCs w:val="24"/>
        </w:rPr>
      </w:pPr>
      <w:r w:rsidRPr="00BA69CA">
        <w:t>JW Cole</w:t>
      </w:r>
      <w:r w:rsidR="007241BF">
        <w:t xml:space="preserve"> </w:t>
      </w:r>
      <w:r w:rsidRPr="00BA69CA">
        <w:t xml:space="preserve">– </w:t>
      </w:r>
      <w:r w:rsidR="007241BF">
        <w:t>(</w:t>
      </w:r>
      <w:r w:rsidR="00C74D3D">
        <w:t>October 2023</w:t>
      </w:r>
      <w:r w:rsidR="007241BF">
        <w:t xml:space="preserve"> – </w:t>
      </w:r>
      <w:r w:rsidR="00C828BE">
        <w:t>2025</w:t>
      </w:r>
      <w:r w:rsidR="007241BF">
        <w:t xml:space="preserve">) - </w:t>
      </w:r>
      <w:r w:rsidRPr="00BA69CA">
        <w:t xml:space="preserve">Registered Representative and Investment Advisor Representative. </w:t>
      </w:r>
    </w:p>
    <w:p w14:paraId="1E785697" w14:textId="77777777" w:rsidR="00B00517" w:rsidRPr="00B00517" w:rsidRDefault="00286A96" w:rsidP="00E66C2B">
      <w:pPr>
        <w:pStyle w:val="ListParagraph"/>
        <w:numPr>
          <w:ilvl w:val="0"/>
          <w:numId w:val="15"/>
        </w:numPr>
        <w:rPr>
          <w:rFonts w:ascii="Times New Roman" w:hAnsi="Times New Roman"/>
          <w:szCs w:val="24"/>
        </w:rPr>
      </w:pPr>
      <w:r>
        <w:t xml:space="preserve">Retirement Consultant Services </w:t>
      </w:r>
      <w:r w:rsidR="00453048">
        <w:t xml:space="preserve">– </w:t>
      </w:r>
      <w:r w:rsidR="000A3879">
        <w:t>(June 2023 – October 2023) – Administrative Assistant</w:t>
      </w:r>
    </w:p>
    <w:p w14:paraId="4875FBFA" w14:textId="77777777" w:rsidR="00B00517" w:rsidRPr="00B00517" w:rsidRDefault="000977EC" w:rsidP="00E66C2B">
      <w:pPr>
        <w:pStyle w:val="ListParagraph"/>
        <w:numPr>
          <w:ilvl w:val="0"/>
          <w:numId w:val="15"/>
        </w:numPr>
        <w:rPr>
          <w:rFonts w:ascii="Times New Roman" w:hAnsi="Times New Roman"/>
          <w:szCs w:val="24"/>
        </w:rPr>
      </w:pPr>
      <w:r>
        <w:t>Cambridge Investment Research Advisors, Inc. – (June 2023 – October 2023) – Investment Adviser Representative</w:t>
      </w:r>
    </w:p>
    <w:p w14:paraId="25666BA9" w14:textId="77777777" w:rsidR="00B00517" w:rsidRPr="00B00517" w:rsidRDefault="00327503" w:rsidP="00E66C2B">
      <w:pPr>
        <w:pStyle w:val="ListParagraph"/>
        <w:numPr>
          <w:ilvl w:val="0"/>
          <w:numId w:val="15"/>
        </w:numPr>
        <w:rPr>
          <w:rFonts w:ascii="Times New Roman" w:hAnsi="Times New Roman"/>
          <w:szCs w:val="24"/>
        </w:rPr>
      </w:pPr>
      <w:r>
        <w:t>Cambridge Investment Research, Inc. – (June 2023 – October 2023) – Registered Representative</w:t>
      </w:r>
    </w:p>
    <w:p w14:paraId="7575EFBC" w14:textId="77777777" w:rsidR="00B00517" w:rsidRPr="00B00517" w:rsidRDefault="00085E4B" w:rsidP="00E66C2B">
      <w:pPr>
        <w:pStyle w:val="ListParagraph"/>
        <w:numPr>
          <w:ilvl w:val="0"/>
          <w:numId w:val="15"/>
        </w:numPr>
        <w:rPr>
          <w:rFonts w:ascii="Times New Roman" w:hAnsi="Times New Roman"/>
          <w:szCs w:val="24"/>
        </w:rPr>
      </w:pPr>
      <w:r>
        <w:t>Ameriprise Financial Services, LLC – (</w:t>
      </w:r>
      <w:r w:rsidR="00A86AD7">
        <w:t xml:space="preserve">October 2002 – July 2022) </w:t>
      </w:r>
      <w:r w:rsidR="00A67216">
        <w:t>–</w:t>
      </w:r>
      <w:r w:rsidR="00A86AD7">
        <w:t xml:space="preserve"> </w:t>
      </w:r>
      <w:r w:rsidR="00A67216">
        <w:t>Investment Adviser Representative</w:t>
      </w:r>
    </w:p>
    <w:p w14:paraId="09F890D1" w14:textId="2621B052" w:rsidR="00A67216" w:rsidRPr="00B00517" w:rsidRDefault="00A67216" w:rsidP="00E66C2B">
      <w:pPr>
        <w:pStyle w:val="ListParagraph"/>
        <w:numPr>
          <w:ilvl w:val="0"/>
          <w:numId w:val="15"/>
        </w:numPr>
        <w:rPr>
          <w:rFonts w:ascii="Times New Roman" w:hAnsi="Times New Roman"/>
          <w:szCs w:val="24"/>
        </w:rPr>
      </w:pPr>
      <w:r>
        <w:t>Ameriprise Financial Services, LLC – (October 2000 – July 2022) – Registered Representative</w:t>
      </w:r>
    </w:p>
    <w:p w14:paraId="3066B1BC" w14:textId="77777777" w:rsidR="00B00517" w:rsidRDefault="00B00517" w:rsidP="00E66C2B"/>
    <w:p w14:paraId="655E4867" w14:textId="59D4FDDA" w:rsidR="00E71F1F" w:rsidRDefault="00E71F1F" w:rsidP="00E66C2B">
      <w:r w:rsidRPr="00BA69CA">
        <w:t xml:space="preserve">Licenses: FINRA </w:t>
      </w:r>
      <w:r w:rsidR="004823E1">
        <w:t>Series 66.</w:t>
      </w:r>
    </w:p>
    <w:p w14:paraId="0C4B3CB8" w14:textId="77777777" w:rsidR="00450996" w:rsidRDefault="00450996" w:rsidP="00E66C2B"/>
    <w:p w14:paraId="3460CDC2" w14:textId="69FC3A08" w:rsidR="00AA7F69" w:rsidRDefault="00AA7F69" w:rsidP="00E66C2B">
      <w:r>
        <w:t>Professional Designation</w:t>
      </w:r>
      <w:r w:rsidR="00261A84">
        <w:t>s:</w:t>
      </w:r>
    </w:p>
    <w:p w14:paraId="3CA7D71E" w14:textId="77777777" w:rsidR="00261A84" w:rsidRDefault="00261A84" w:rsidP="00AA7F69">
      <w:pPr>
        <w:widowControl w:val="0"/>
        <w:overflowPunct w:val="0"/>
        <w:autoSpaceDE w:val="0"/>
        <w:autoSpaceDN w:val="0"/>
        <w:adjustRightInd w:val="0"/>
        <w:spacing w:line="252" w:lineRule="auto"/>
        <w:ind w:right="1400"/>
        <w:rPr>
          <w:rFonts w:ascii="Arial" w:hAnsi="Arial" w:cs="Arial"/>
          <w:sz w:val="20"/>
          <w:szCs w:val="20"/>
        </w:rPr>
      </w:pPr>
    </w:p>
    <w:p w14:paraId="74961C03" w14:textId="77777777" w:rsidR="00261A84" w:rsidRDefault="00261A84" w:rsidP="00AA7F69">
      <w:pPr>
        <w:widowControl w:val="0"/>
        <w:overflowPunct w:val="0"/>
        <w:autoSpaceDE w:val="0"/>
        <w:autoSpaceDN w:val="0"/>
        <w:adjustRightInd w:val="0"/>
        <w:spacing w:line="252" w:lineRule="auto"/>
        <w:ind w:right="1400"/>
        <w:rPr>
          <w:rFonts w:ascii="Arial" w:hAnsi="Arial" w:cs="Arial"/>
          <w:sz w:val="20"/>
          <w:szCs w:val="20"/>
        </w:rPr>
      </w:pPr>
    </w:p>
    <w:p w14:paraId="484DCE27" w14:textId="77777777" w:rsidR="002B60B2" w:rsidRPr="002B60B2" w:rsidRDefault="002B60B2" w:rsidP="00B00517">
      <w:pPr>
        <w:widowControl w:val="0"/>
        <w:autoSpaceDE w:val="0"/>
        <w:autoSpaceDN w:val="0"/>
        <w:rPr>
          <w:rFonts w:eastAsia="Calibri" w:cs="Calibri"/>
          <w:szCs w:val="24"/>
        </w:rPr>
      </w:pPr>
      <w:r w:rsidRPr="002B60B2">
        <w:rPr>
          <w:rFonts w:eastAsia="Calibri" w:cs="Calibri"/>
          <w:szCs w:val="24"/>
          <w:u w:val="single"/>
        </w:rPr>
        <w:t>CERTIFIED</w:t>
      </w:r>
      <w:r w:rsidRPr="002B60B2">
        <w:rPr>
          <w:rFonts w:eastAsia="Calibri" w:cs="Calibri"/>
          <w:spacing w:val="-12"/>
          <w:szCs w:val="24"/>
          <w:u w:val="single"/>
        </w:rPr>
        <w:t xml:space="preserve"> </w:t>
      </w:r>
      <w:r w:rsidRPr="002B60B2">
        <w:rPr>
          <w:rFonts w:eastAsia="Calibri" w:cs="Calibri"/>
          <w:szCs w:val="24"/>
          <w:u w:val="single"/>
        </w:rPr>
        <w:t>FINANCIAL</w:t>
      </w:r>
      <w:r w:rsidRPr="002B60B2">
        <w:rPr>
          <w:rFonts w:eastAsia="Calibri" w:cs="Calibri"/>
          <w:spacing w:val="-11"/>
          <w:szCs w:val="24"/>
          <w:u w:val="single"/>
        </w:rPr>
        <w:t xml:space="preserve"> </w:t>
      </w:r>
      <w:r w:rsidRPr="002B60B2">
        <w:rPr>
          <w:rFonts w:eastAsia="Calibri" w:cs="Calibri"/>
          <w:szCs w:val="24"/>
          <w:u w:val="single"/>
        </w:rPr>
        <w:t>PLANNER™</w:t>
      </w:r>
      <w:r w:rsidRPr="002B60B2">
        <w:rPr>
          <w:rFonts w:eastAsia="Calibri" w:cs="Calibri"/>
          <w:spacing w:val="-12"/>
          <w:szCs w:val="24"/>
          <w:u w:val="single"/>
        </w:rPr>
        <w:t xml:space="preserve"> </w:t>
      </w:r>
      <w:r w:rsidRPr="002B60B2">
        <w:rPr>
          <w:rFonts w:eastAsia="Calibri" w:cs="Calibri"/>
          <w:spacing w:val="-2"/>
          <w:szCs w:val="24"/>
          <w:u w:val="single"/>
        </w:rPr>
        <w:t>professional</w:t>
      </w:r>
    </w:p>
    <w:p w14:paraId="6BEA8D66" w14:textId="77777777" w:rsidR="002B60B2" w:rsidRPr="002B60B2" w:rsidRDefault="002B60B2" w:rsidP="002B60B2">
      <w:pPr>
        <w:widowControl w:val="0"/>
        <w:autoSpaceDE w:val="0"/>
        <w:autoSpaceDN w:val="0"/>
        <w:spacing w:before="7"/>
        <w:rPr>
          <w:rFonts w:eastAsia="Calibri" w:cs="Calibri"/>
          <w:sz w:val="20"/>
          <w:szCs w:val="24"/>
        </w:rPr>
      </w:pPr>
    </w:p>
    <w:p w14:paraId="203F7D17" w14:textId="77777777" w:rsidR="002B60B2" w:rsidRPr="002B60B2" w:rsidRDefault="002B60B2" w:rsidP="00B00517">
      <w:pPr>
        <w:widowControl w:val="0"/>
        <w:autoSpaceDE w:val="0"/>
        <w:autoSpaceDN w:val="0"/>
        <w:spacing w:before="51"/>
        <w:ind w:right="74"/>
        <w:rPr>
          <w:rFonts w:eastAsia="Calibri" w:cs="Calibri"/>
          <w:szCs w:val="24"/>
        </w:rPr>
      </w:pPr>
      <w:r w:rsidRPr="002B60B2">
        <w:rPr>
          <w:rFonts w:eastAsia="Calibri" w:cs="Calibri"/>
          <w:szCs w:val="24"/>
        </w:rPr>
        <w:t>I am certified for financial planning services in the United States by Certified Financial Planner Board of</w:t>
      </w:r>
      <w:r w:rsidRPr="002B60B2">
        <w:rPr>
          <w:rFonts w:eastAsia="Calibri" w:cs="Calibri"/>
          <w:spacing w:val="-4"/>
          <w:szCs w:val="24"/>
        </w:rPr>
        <w:t xml:space="preserve"> </w:t>
      </w:r>
      <w:r w:rsidRPr="002B60B2">
        <w:rPr>
          <w:rFonts w:eastAsia="Calibri" w:cs="Calibri"/>
          <w:szCs w:val="24"/>
        </w:rPr>
        <w:t>Standards,</w:t>
      </w:r>
      <w:r w:rsidRPr="002B60B2">
        <w:rPr>
          <w:rFonts w:eastAsia="Calibri" w:cs="Calibri"/>
          <w:spacing w:val="-6"/>
          <w:szCs w:val="24"/>
        </w:rPr>
        <w:t xml:space="preserve"> </w:t>
      </w:r>
      <w:r w:rsidRPr="002B60B2">
        <w:rPr>
          <w:rFonts w:eastAsia="Calibri" w:cs="Calibri"/>
          <w:szCs w:val="24"/>
        </w:rPr>
        <w:t>Inc.</w:t>
      </w:r>
      <w:r w:rsidRPr="002B60B2">
        <w:rPr>
          <w:rFonts w:eastAsia="Calibri" w:cs="Calibri"/>
          <w:spacing w:val="-5"/>
          <w:szCs w:val="24"/>
        </w:rPr>
        <w:t xml:space="preserve"> </w:t>
      </w:r>
      <w:r w:rsidRPr="002B60B2">
        <w:rPr>
          <w:rFonts w:eastAsia="Calibri" w:cs="Calibri"/>
          <w:szCs w:val="24"/>
        </w:rPr>
        <w:t>(“CFP Board”).</w:t>
      </w:r>
      <w:r w:rsidRPr="002B60B2">
        <w:rPr>
          <w:rFonts w:eastAsia="Calibri" w:cs="Calibri"/>
          <w:spacing w:val="40"/>
          <w:szCs w:val="24"/>
        </w:rPr>
        <w:t xml:space="preserve"> </w:t>
      </w:r>
      <w:r w:rsidRPr="002B60B2">
        <w:rPr>
          <w:rFonts w:eastAsia="Calibri" w:cs="Calibri"/>
          <w:szCs w:val="24"/>
        </w:rPr>
        <w:t>Therefore,</w:t>
      </w:r>
      <w:r w:rsidRPr="002B60B2">
        <w:rPr>
          <w:rFonts w:eastAsia="Calibri" w:cs="Calibri"/>
          <w:spacing w:val="-4"/>
          <w:szCs w:val="24"/>
        </w:rPr>
        <w:t xml:space="preserve"> </w:t>
      </w:r>
      <w:r w:rsidRPr="002B60B2">
        <w:rPr>
          <w:rFonts w:eastAsia="Calibri" w:cs="Calibri"/>
          <w:szCs w:val="24"/>
        </w:rPr>
        <w:t>I</w:t>
      </w:r>
      <w:r w:rsidRPr="002B60B2">
        <w:rPr>
          <w:rFonts w:eastAsia="Calibri" w:cs="Calibri"/>
          <w:spacing w:val="-2"/>
          <w:szCs w:val="24"/>
        </w:rPr>
        <w:t xml:space="preserve"> </w:t>
      </w:r>
      <w:r w:rsidRPr="002B60B2">
        <w:rPr>
          <w:rFonts w:eastAsia="Calibri" w:cs="Calibri"/>
          <w:szCs w:val="24"/>
        </w:rPr>
        <w:t>may</w:t>
      </w:r>
      <w:r w:rsidRPr="002B60B2">
        <w:rPr>
          <w:rFonts w:eastAsia="Calibri" w:cs="Calibri"/>
          <w:spacing w:val="-4"/>
          <w:szCs w:val="24"/>
        </w:rPr>
        <w:t xml:space="preserve"> </w:t>
      </w:r>
      <w:r w:rsidRPr="002B60B2">
        <w:rPr>
          <w:rFonts w:eastAsia="Calibri" w:cs="Calibri"/>
          <w:szCs w:val="24"/>
        </w:rPr>
        <w:t>refer</w:t>
      </w:r>
      <w:r w:rsidRPr="002B60B2">
        <w:rPr>
          <w:rFonts w:eastAsia="Calibri" w:cs="Calibri"/>
          <w:spacing w:val="-6"/>
          <w:szCs w:val="24"/>
        </w:rPr>
        <w:t xml:space="preserve"> </w:t>
      </w:r>
      <w:r w:rsidRPr="002B60B2">
        <w:rPr>
          <w:rFonts w:eastAsia="Calibri" w:cs="Calibri"/>
          <w:szCs w:val="24"/>
        </w:rPr>
        <w:t>to myself</w:t>
      </w:r>
      <w:r w:rsidRPr="002B60B2">
        <w:rPr>
          <w:rFonts w:eastAsia="Calibri" w:cs="Calibri"/>
          <w:spacing w:val="-5"/>
          <w:szCs w:val="24"/>
        </w:rPr>
        <w:t xml:space="preserve"> </w:t>
      </w:r>
      <w:r w:rsidRPr="002B60B2">
        <w:rPr>
          <w:rFonts w:eastAsia="Calibri" w:cs="Calibri"/>
          <w:szCs w:val="24"/>
        </w:rPr>
        <w:t>as</w:t>
      </w:r>
      <w:r w:rsidRPr="002B60B2">
        <w:rPr>
          <w:rFonts w:eastAsia="Calibri" w:cs="Calibri"/>
          <w:spacing w:val="-4"/>
          <w:szCs w:val="24"/>
        </w:rPr>
        <w:t xml:space="preserve"> </w:t>
      </w:r>
      <w:r w:rsidRPr="002B60B2">
        <w:rPr>
          <w:rFonts w:eastAsia="Calibri" w:cs="Calibri"/>
          <w:szCs w:val="24"/>
        </w:rPr>
        <w:t>a</w:t>
      </w:r>
      <w:r w:rsidRPr="002B60B2">
        <w:rPr>
          <w:rFonts w:eastAsia="Calibri" w:cs="Calibri"/>
          <w:spacing w:val="-1"/>
          <w:szCs w:val="24"/>
        </w:rPr>
        <w:t xml:space="preserve"> </w:t>
      </w:r>
      <w:r w:rsidRPr="002B60B2">
        <w:rPr>
          <w:rFonts w:eastAsia="Calibri" w:cs="Calibri"/>
          <w:szCs w:val="24"/>
        </w:rPr>
        <w:t>CERTIFIED</w:t>
      </w:r>
      <w:r w:rsidRPr="002B60B2">
        <w:rPr>
          <w:rFonts w:eastAsia="Calibri" w:cs="Calibri"/>
          <w:spacing w:val="-4"/>
          <w:szCs w:val="24"/>
        </w:rPr>
        <w:t xml:space="preserve"> </w:t>
      </w:r>
      <w:r w:rsidRPr="002B60B2">
        <w:rPr>
          <w:rFonts w:eastAsia="Calibri" w:cs="Calibri"/>
          <w:szCs w:val="24"/>
        </w:rPr>
        <w:t>FINANCIAL PLANNER™ professional or a CFP</w:t>
      </w:r>
      <w:r w:rsidRPr="002B60B2">
        <w:rPr>
          <w:rFonts w:eastAsia="Calibri" w:cs="Calibri"/>
          <w:szCs w:val="24"/>
          <w:vertAlign w:val="superscript"/>
        </w:rPr>
        <w:t>®</w:t>
      </w:r>
      <w:r w:rsidRPr="002B60B2">
        <w:rPr>
          <w:rFonts w:eastAsia="Calibri" w:cs="Calibri"/>
          <w:szCs w:val="24"/>
        </w:rPr>
        <w:t xml:space="preserve"> professional, and I may use these and CFP Board’s other certification marks (the “CFP Board Certification Marks”).</w:t>
      </w:r>
      <w:r w:rsidRPr="002B60B2">
        <w:rPr>
          <w:rFonts w:eastAsia="Calibri" w:cs="Calibri"/>
          <w:spacing w:val="40"/>
          <w:szCs w:val="24"/>
        </w:rPr>
        <w:t xml:space="preserve"> </w:t>
      </w:r>
      <w:r w:rsidRPr="002B60B2">
        <w:rPr>
          <w:rFonts w:eastAsia="Calibri" w:cs="Calibri"/>
          <w:szCs w:val="24"/>
        </w:rPr>
        <w:t>The CFP</w:t>
      </w:r>
      <w:r w:rsidRPr="002B60B2">
        <w:rPr>
          <w:rFonts w:eastAsia="Calibri" w:cs="Calibri"/>
          <w:szCs w:val="24"/>
          <w:vertAlign w:val="superscript"/>
        </w:rPr>
        <w:t>®</w:t>
      </w:r>
      <w:r w:rsidRPr="002B60B2">
        <w:rPr>
          <w:rFonts w:eastAsia="Calibri" w:cs="Calibri"/>
          <w:szCs w:val="24"/>
        </w:rPr>
        <w:t xml:space="preserve"> certification is voluntary.</w:t>
      </w:r>
      <w:r w:rsidRPr="002B60B2">
        <w:rPr>
          <w:rFonts w:eastAsia="Calibri" w:cs="Calibri"/>
          <w:spacing w:val="40"/>
          <w:szCs w:val="24"/>
        </w:rPr>
        <w:t xml:space="preserve"> </w:t>
      </w:r>
      <w:r w:rsidRPr="002B60B2">
        <w:rPr>
          <w:rFonts w:eastAsia="Calibri" w:cs="Calibri"/>
          <w:szCs w:val="24"/>
        </w:rPr>
        <w:t>No federal or state law or regulation requires financial planners to hold the CFP</w:t>
      </w:r>
      <w:r w:rsidRPr="002B60B2">
        <w:rPr>
          <w:rFonts w:eastAsia="Calibri" w:cs="Calibri"/>
          <w:szCs w:val="24"/>
          <w:vertAlign w:val="superscript"/>
        </w:rPr>
        <w:t>®</w:t>
      </w:r>
      <w:r w:rsidRPr="002B60B2">
        <w:rPr>
          <w:rFonts w:eastAsia="Calibri" w:cs="Calibri"/>
          <w:szCs w:val="24"/>
        </w:rPr>
        <w:t xml:space="preserve"> certification.</w:t>
      </w:r>
      <w:r w:rsidRPr="002B60B2">
        <w:rPr>
          <w:rFonts w:eastAsia="Calibri" w:cs="Calibri"/>
          <w:spacing w:val="40"/>
          <w:szCs w:val="24"/>
        </w:rPr>
        <w:t xml:space="preserve"> </w:t>
      </w:r>
      <w:r w:rsidRPr="002B60B2">
        <w:rPr>
          <w:rFonts w:eastAsia="Calibri" w:cs="Calibri"/>
          <w:szCs w:val="24"/>
        </w:rPr>
        <w:t>You may find more information about the CFP</w:t>
      </w:r>
      <w:r w:rsidRPr="002B60B2">
        <w:rPr>
          <w:rFonts w:eastAsia="Calibri" w:cs="Calibri"/>
          <w:szCs w:val="24"/>
          <w:vertAlign w:val="superscript"/>
        </w:rPr>
        <w:t>®</w:t>
      </w:r>
      <w:r w:rsidRPr="002B60B2">
        <w:rPr>
          <w:rFonts w:eastAsia="Calibri" w:cs="Calibri"/>
          <w:szCs w:val="24"/>
        </w:rPr>
        <w:t xml:space="preserve"> certification at </w:t>
      </w:r>
      <w:hyperlink r:id="rId10">
        <w:r w:rsidRPr="002B60B2">
          <w:rPr>
            <w:rFonts w:eastAsia="Calibri" w:cs="Calibri"/>
            <w:color w:val="0000FF"/>
            <w:szCs w:val="24"/>
            <w:u w:val="single" w:color="0000FF"/>
          </w:rPr>
          <w:t>www.CFP.net</w:t>
        </w:r>
        <w:r w:rsidRPr="002B60B2">
          <w:rPr>
            <w:rFonts w:eastAsia="Calibri" w:cs="Calibri"/>
            <w:szCs w:val="24"/>
          </w:rPr>
          <w:t>.</w:t>
        </w:r>
      </w:hyperlink>
    </w:p>
    <w:p w14:paraId="3EAE98B9" w14:textId="77777777" w:rsidR="002B60B2" w:rsidRPr="002B60B2" w:rsidRDefault="002B60B2" w:rsidP="002B60B2">
      <w:pPr>
        <w:widowControl w:val="0"/>
        <w:autoSpaceDE w:val="0"/>
        <w:autoSpaceDN w:val="0"/>
        <w:spacing w:before="1"/>
        <w:rPr>
          <w:rFonts w:eastAsia="Calibri" w:cs="Calibri"/>
          <w:sz w:val="18"/>
          <w:szCs w:val="24"/>
        </w:rPr>
      </w:pPr>
    </w:p>
    <w:p w14:paraId="4B25C1FB" w14:textId="77777777" w:rsidR="002B60B2" w:rsidRPr="002B60B2" w:rsidRDefault="002B60B2" w:rsidP="002B60B2">
      <w:pPr>
        <w:widowControl w:val="0"/>
        <w:autoSpaceDE w:val="0"/>
        <w:autoSpaceDN w:val="0"/>
        <w:spacing w:before="71"/>
        <w:ind w:left="100" w:right="5"/>
        <w:rPr>
          <w:rFonts w:eastAsia="Calibri" w:cs="Calibri"/>
          <w:szCs w:val="24"/>
        </w:rPr>
      </w:pPr>
      <w:r w:rsidRPr="002B60B2">
        <w:rPr>
          <w:rFonts w:eastAsia="Calibri" w:cs="Calibri"/>
          <w:szCs w:val="24"/>
        </w:rPr>
        <w:t>CFP</w:t>
      </w:r>
      <w:r w:rsidRPr="002B60B2">
        <w:rPr>
          <w:rFonts w:eastAsia="Calibri" w:cs="Calibri"/>
          <w:szCs w:val="24"/>
          <w:vertAlign w:val="superscript"/>
        </w:rPr>
        <w:t>®</w:t>
      </w:r>
      <w:r w:rsidRPr="002B60B2">
        <w:rPr>
          <w:rFonts w:eastAsia="Calibri" w:cs="Calibri"/>
          <w:spacing w:val="-3"/>
          <w:szCs w:val="24"/>
        </w:rPr>
        <w:t xml:space="preserve"> </w:t>
      </w:r>
      <w:r w:rsidRPr="002B60B2">
        <w:rPr>
          <w:rFonts w:eastAsia="Calibri" w:cs="Calibri"/>
          <w:szCs w:val="24"/>
        </w:rPr>
        <w:t>professionals</w:t>
      </w:r>
      <w:r w:rsidRPr="002B60B2">
        <w:rPr>
          <w:rFonts w:eastAsia="Calibri" w:cs="Calibri"/>
          <w:spacing w:val="-5"/>
          <w:szCs w:val="24"/>
        </w:rPr>
        <w:t xml:space="preserve"> </w:t>
      </w:r>
      <w:r w:rsidRPr="002B60B2">
        <w:rPr>
          <w:rFonts w:eastAsia="Calibri" w:cs="Calibri"/>
          <w:szCs w:val="24"/>
        </w:rPr>
        <w:t>have</w:t>
      </w:r>
      <w:r w:rsidRPr="002B60B2">
        <w:rPr>
          <w:rFonts w:eastAsia="Calibri" w:cs="Calibri"/>
          <w:spacing w:val="-5"/>
          <w:szCs w:val="24"/>
        </w:rPr>
        <w:t xml:space="preserve"> </w:t>
      </w:r>
      <w:r w:rsidRPr="002B60B2">
        <w:rPr>
          <w:rFonts w:eastAsia="Calibri" w:cs="Calibri"/>
          <w:szCs w:val="24"/>
        </w:rPr>
        <w:t>met CFP</w:t>
      </w:r>
      <w:r w:rsidRPr="002B60B2">
        <w:rPr>
          <w:rFonts w:eastAsia="Calibri" w:cs="Calibri"/>
          <w:spacing w:val="-5"/>
          <w:szCs w:val="24"/>
        </w:rPr>
        <w:t xml:space="preserve"> </w:t>
      </w:r>
      <w:r w:rsidRPr="002B60B2">
        <w:rPr>
          <w:rFonts w:eastAsia="Calibri" w:cs="Calibri"/>
          <w:szCs w:val="24"/>
        </w:rPr>
        <w:t>Board’s</w:t>
      </w:r>
      <w:r w:rsidRPr="002B60B2">
        <w:rPr>
          <w:rFonts w:eastAsia="Calibri" w:cs="Calibri"/>
          <w:spacing w:val="-5"/>
          <w:szCs w:val="24"/>
        </w:rPr>
        <w:t xml:space="preserve"> </w:t>
      </w:r>
      <w:r w:rsidRPr="002B60B2">
        <w:rPr>
          <w:rFonts w:eastAsia="Calibri" w:cs="Calibri"/>
          <w:szCs w:val="24"/>
        </w:rPr>
        <w:t>high</w:t>
      </w:r>
      <w:r w:rsidRPr="002B60B2">
        <w:rPr>
          <w:rFonts w:eastAsia="Calibri" w:cs="Calibri"/>
          <w:spacing w:val="-5"/>
          <w:szCs w:val="24"/>
        </w:rPr>
        <w:t xml:space="preserve"> </w:t>
      </w:r>
      <w:r w:rsidRPr="002B60B2">
        <w:rPr>
          <w:rFonts w:eastAsia="Calibri" w:cs="Calibri"/>
          <w:szCs w:val="24"/>
        </w:rPr>
        <w:t>standards</w:t>
      </w:r>
      <w:r w:rsidRPr="002B60B2">
        <w:rPr>
          <w:rFonts w:eastAsia="Calibri" w:cs="Calibri"/>
          <w:spacing w:val="-4"/>
          <w:szCs w:val="24"/>
        </w:rPr>
        <w:t xml:space="preserve"> </w:t>
      </w:r>
      <w:r w:rsidRPr="002B60B2">
        <w:rPr>
          <w:rFonts w:eastAsia="Calibri" w:cs="Calibri"/>
          <w:szCs w:val="24"/>
        </w:rPr>
        <w:t>for</w:t>
      </w:r>
      <w:r w:rsidRPr="002B60B2">
        <w:rPr>
          <w:rFonts w:eastAsia="Calibri" w:cs="Calibri"/>
          <w:spacing w:val="-4"/>
          <w:szCs w:val="24"/>
        </w:rPr>
        <w:t xml:space="preserve"> </w:t>
      </w:r>
      <w:r w:rsidRPr="002B60B2">
        <w:rPr>
          <w:rFonts w:eastAsia="Calibri" w:cs="Calibri"/>
          <w:szCs w:val="24"/>
        </w:rPr>
        <w:t>education,</w:t>
      </w:r>
      <w:r w:rsidRPr="002B60B2">
        <w:rPr>
          <w:rFonts w:eastAsia="Calibri" w:cs="Calibri"/>
          <w:spacing w:val="-5"/>
          <w:szCs w:val="24"/>
        </w:rPr>
        <w:t xml:space="preserve"> </w:t>
      </w:r>
      <w:r w:rsidRPr="002B60B2">
        <w:rPr>
          <w:rFonts w:eastAsia="Calibri" w:cs="Calibri"/>
          <w:szCs w:val="24"/>
        </w:rPr>
        <w:t>examination,</w:t>
      </w:r>
      <w:r w:rsidRPr="002B60B2">
        <w:rPr>
          <w:rFonts w:eastAsia="Calibri" w:cs="Calibri"/>
          <w:spacing w:val="-6"/>
          <w:szCs w:val="24"/>
        </w:rPr>
        <w:t xml:space="preserve"> </w:t>
      </w:r>
      <w:r w:rsidRPr="002B60B2">
        <w:rPr>
          <w:rFonts w:eastAsia="Calibri" w:cs="Calibri"/>
          <w:szCs w:val="24"/>
        </w:rPr>
        <w:t>experience, and</w:t>
      </w:r>
      <w:r w:rsidRPr="002B60B2">
        <w:rPr>
          <w:rFonts w:eastAsia="Calibri" w:cs="Calibri"/>
          <w:spacing w:val="-4"/>
          <w:szCs w:val="24"/>
        </w:rPr>
        <w:t xml:space="preserve"> </w:t>
      </w:r>
      <w:r w:rsidRPr="002B60B2">
        <w:rPr>
          <w:rFonts w:eastAsia="Calibri" w:cs="Calibri"/>
          <w:szCs w:val="24"/>
        </w:rPr>
        <w:t>ethics.</w:t>
      </w:r>
      <w:r w:rsidRPr="002B60B2">
        <w:rPr>
          <w:rFonts w:eastAsia="Calibri" w:cs="Calibri"/>
          <w:spacing w:val="44"/>
          <w:szCs w:val="24"/>
        </w:rPr>
        <w:t xml:space="preserve"> </w:t>
      </w:r>
      <w:r w:rsidRPr="002B60B2">
        <w:rPr>
          <w:rFonts w:eastAsia="Calibri" w:cs="Calibri"/>
          <w:szCs w:val="24"/>
        </w:rPr>
        <w:t>To</w:t>
      </w:r>
      <w:r w:rsidRPr="002B60B2">
        <w:rPr>
          <w:rFonts w:eastAsia="Calibri" w:cs="Calibri"/>
          <w:spacing w:val="-7"/>
          <w:szCs w:val="24"/>
        </w:rPr>
        <w:t xml:space="preserve"> </w:t>
      </w:r>
      <w:r w:rsidRPr="002B60B2">
        <w:rPr>
          <w:rFonts w:eastAsia="Calibri" w:cs="Calibri"/>
          <w:szCs w:val="24"/>
        </w:rPr>
        <w:t>become</w:t>
      </w:r>
      <w:r w:rsidRPr="002B60B2">
        <w:rPr>
          <w:rFonts w:eastAsia="Calibri" w:cs="Calibri"/>
          <w:spacing w:val="-5"/>
          <w:szCs w:val="24"/>
        </w:rPr>
        <w:t xml:space="preserve"> </w:t>
      </w:r>
      <w:r w:rsidRPr="002B60B2">
        <w:rPr>
          <w:rFonts w:eastAsia="Calibri" w:cs="Calibri"/>
          <w:szCs w:val="24"/>
        </w:rPr>
        <w:t>a</w:t>
      </w:r>
      <w:r w:rsidRPr="002B60B2">
        <w:rPr>
          <w:rFonts w:eastAsia="Calibri" w:cs="Calibri"/>
          <w:spacing w:val="-6"/>
          <w:szCs w:val="24"/>
        </w:rPr>
        <w:t xml:space="preserve"> </w:t>
      </w:r>
      <w:r w:rsidRPr="002B60B2">
        <w:rPr>
          <w:rFonts w:eastAsia="Calibri" w:cs="Calibri"/>
          <w:szCs w:val="24"/>
        </w:rPr>
        <w:t>CFP</w:t>
      </w:r>
      <w:r w:rsidRPr="002B60B2">
        <w:rPr>
          <w:rFonts w:eastAsia="Calibri" w:cs="Calibri"/>
          <w:szCs w:val="24"/>
          <w:vertAlign w:val="superscript"/>
        </w:rPr>
        <w:t>®</w:t>
      </w:r>
      <w:r w:rsidRPr="002B60B2">
        <w:rPr>
          <w:rFonts w:eastAsia="Calibri" w:cs="Calibri"/>
          <w:spacing w:val="-6"/>
          <w:szCs w:val="24"/>
        </w:rPr>
        <w:t xml:space="preserve"> </w:t>
      </w:r>
      <w:r w:rsidRPr="002B60B2">
        <w:rPr>
          <w:rFonts w:eastAsia="Calibri" w:cs="Calibri"/>
          <w:szCs w:val="24"/>
        </w:rPr>
        <w:t>professional,</w:t>
      </w:r>
      <w:r w:rsidRPr="002B60B2">
        <w:rPr>
          <w:rFonts w:eastAsia="Calibri" w:cs="Calibri"/>
          <w:spacing w:val="-7"/>
          <w:szCs w:val="24"/>
        </w:rPr>
        <w:t xml:space="preserve"> </w:t>
      </w:r>
      <w:r w:rsidRPr="002B60B2">
        <w:rPr>
          <w:rFonts w:eastAsia="Calibri" w:cs="Calibri"/>
          <w:szCs w:val="24"/>
        </w:rPr>
        <w:t>an</w:t>
      </w:r>
      <w:r w:rsidRPr="002B60B2">
        <w:rPr>
          <w:rFonts w:eastAsia="Calibri" w:cs="Calibri"/>
          <w:spacing w:val="-4"/>
          <w:szCs w:val="24"/>
        </w:rPr>
        <w:t xml:space="preserve"> </w:t>
      </w:r>
      <w:r w:rsidRPr="002B60B2">
        <w:rPr>
          <w:rFonts w:eastAsia="Calibri" w:cs="Calibri"/>
          <w:szCs w:val="24"/>
        </w:rPr>
        <w:t>individual</w:t>
      </w:r>
      <w:r w:rsidRPr="002B60B2">
        <w:rPr>
          <w:rFonts w:eastAsia="Calibri" w:cs="Calibri"/>
          <w:spacing w:val="-7"/>
          <w:szCs w:val="24"/>
        </w:rPr>
        <w:t xml:space="preserve"> </w:t>
      </w:r>
      <w:r w:rsidRPr="002B60B2">
        <w:rPr>
          <w:rFonts w:eastAsia="Calibri" w:cs="Calibri"/>
          <w:szCs w:val="24"/>
        </w:rPr>
        <w:t>must</w:t>
      </w:r>
      <w:r w:rsidRPr="002B60B2">
        <w:rPr>
          <w:rFonts w:eastAsia="Calibri" w:cs="Calibri"/>
          <w:spacing w:val="-7"/>
          <w:szCs w:val="24"/>
        </w:rPr>
        <w:t xml:space="preserve"> </w:t>
      </w:r>
      <w:r w:rsidRPr="002B60B2">
        <w:rPr>
          <w:rFonts w:eastAsia="Calibri" w:cs="Calibri"/>
          <w:szCs w:val="24"/>
        </w:rPr>
        <w:t>fulfill</w:t>
      </w:r>
      <w:r w:rsidRPr="002B60B2">
        <w:rPr>
          <w:rFonts w:eastAsia="Calibri" w:cs="Calibri"/>
          <w:spacing w:val="-6"/>
          <w:szCs w:val="24"/>
        </w:rPr>
        <w:t xml:space="preserve"> </w:t>
      </w:r>
      <w:r w:rsidRPr="002B60B2">
        <w:rPr>
          <w:rFonts w:eastAsia="Calibri" w:cs="Calibri"/>
          <w:szCs w:val="24"/>
        </w:rPr>
        <w:t>the</w:t>
      </w:r>
      <w:r w:rsidRPr="002B60B2">
        <w:rPr>
          <w:rFonts w:eastAsia="Calibri" w:cs="Calibri"/>
          <w:spacing w:val="-7"/>
          <w:szCs w:val="24"/>
        </w:rPr>
        <w:t xml:space="preserve"> </w:t>
      </w:r>
      <w:r w:rsidRPr="002B60B2">
        <w:rPr>
          <w:rFonts w:eastAsia="Calibri" w:cs="Calibri"/>
          <w:szCs w:val="24"/>
        </w:rPr>
        <w:t>following</w:t>
      </w:r>
      <w:r w:rsidRPr="002B60B2">
        <w:rPr>
          <w:rFonts w:eastAsia="Calibri" w:cs="Calibri"/>
          <w:spacing w:val="-5"/>
          <w:szCs w:val="24"/>
        </w:rPr>
        <w:t xml:space="preserve"> </w:t>
      </w:r>
      <w:r w:rsidRPr="002B60B2">
        <w:rPr>
          <w:rFonts w:eastAsia="Calibri" w:cs="Calibri"/>
          <w:spacing w:val="-2"/>
          <w:szCs w:val="24"/>
        </w:rPr>
        <w:t>requirements:</w:t>
      </w:r>
    </w:p>
    <w:p w14:paraId="028F8CAF" w14:textId="77777777" w:rsidR="002B60B2" w:rsidRPr="002B60B2" w:rsidRDefault="002B60B2" w:rsidP="002B60B2">
      <w:pPr>
        <w:widowControl w:val="0"/>
        <w:autoSpaceDE w:val="0"/>
        <w:autoSpaceDN w:val="0"/>
        <w:spacing w:before="1"/>
        <w:rPr>
          <w:rFonts w:eastAsia="Calibri" w:cs="Calibri"/>
          <w:szCs w:val="24"/>
        </w:rPr>
      </w:pPr>
    </w:p>
    <w:p w14:paraId="276632C8" w14:textId="373EF741" w:rsidR="00612CF5" w:rsidRPr="002B60B2" w:rsidRDefault="002B60B2" w:rsidP="00612CF5">
      <w:pPr>
        <w:widowControl w:val="0"/>
        <w:numPr>
          <w:ilvl w:val="0"/>
          <w:numId w:val="12"/>
        </w:numPr>
        <w:tabs>
          <w:tab w:val="left" w:pos="819"/>
          <w:tab w:val="left" w:pos="820"/>
        </w:tabs>
        <w:autoSpaceDE w:val="0"/>
        <w:autoSpaceDN w:val="0"/>
        <w:ind w:right="108"/>
        <w:rPr>
          <w:rFonts w:eastAsia="Calibri" w:cs="Calibri"/>
        </w:rPr>
      </w:pPr>
      <w:r w:rsidRPr="002B60B2">
        <w:rPr>
          <w:rFonts w:eastAsia="Calibri" w:cs="Calibri"/>
          <w:b/>
        </w:rPr>
        <w:t xml:space="preserve">Education </w:t>
      </w:r>
      <w:r w:rsidRPr="002B60B2">
        <w:rPr>
          <w:rFonts w:eastAsia="Calibri" w:cs="Calibri"/>
        </w:rPr>
        <w:t>– Earn a bachelor’s degree or higher from an accredited college or university and complete CFP Board-approved coursework at a college or university through a CFP Board Registered Program.</w:t>
      </w:r>
      <w:r w:rsidRPr="002B60B2">
        <w:rPr>
          <w:rFonts w:eastAsia="Calibri" w:cs="Calibri"/>
          <w:spacing w:val="40"/>
        </w:rPr>
        <w:t xml:space="preserve"> </w:t>
      </w:r>
      <w:r w:rsidRPr="002B60B2">
        <w:rPr>
          <w:rFonts w:eastAsia="Calibri" w:cs="Calibri"/>
        </w:rPr>
        <w:t>The coursework covers the financial planning subject areas</w:t>
      </w:r>
      <w:r w:rsidRPr="002B60B2">
        <w:rPr>
          <w:rFonts w:eastAsia="Calibri" w:cs="Calibri"/>
          <w:spacing w:val="40"/>
        </w:rPr>
        <w:t xml:space="preserve"> </w:t>
      </w:r>
      <w:r w:rsidRPr="002B60B2">
        <w:rPr>
          <w:rFonts w:eastAsia="Calibri" w:cs="Calibri"/>
        </w:rPr>
        <w:t>CFP Board has determined are necessary for the competent and professional delivery of financial planning services, as well as a comprehensive financial plan development capstone course.</w:t>
      </w:r>
      <w:r w:rsidRPr="002B60B2">
        <w:rPr>
          <w:rFonts w:eastAsia="Calibri" w:cs="Calibri"/>
          <w:spacing w:val="40"/>
        </w:rPr>
        <w:t xml:space="preserve"> </w:t>
      </w:r>
      <w:r w:rsidRPr="002B60B2">
        <w:rPr>
          <w:rFonts w:eastAsia="Calibri" w:cs="Calibri"/>
        </w:rPr>
        <w:t>A candidate may satisfy some of the coursework requirements through other qualifying credentials.</w:t>
      </w:r>
      <w:r w:rsidRPr="002B60B2">
        <w:rPr>
          <w:rFonts w:eastAsia="Calibri" w:cs="Calibri"/>
          <w:spacing w:val="40"/>
        </w:rPr>
        <w:t xml:space="preserve"> </w:t>
      </w:r>
      <w:r w:rsidRPr="002B60B2">
        <w:rPr>
          <w:rFonts w:eastAsia="Calibri" w:cs="Calibri"/>
        </w:rPr>
        <w:t>CFP Board implemented the bachelor’s degree or higher requirement in</w:t>
      </w:r>
      <w:r w:rsidRPr="002B60B2">
        <w:rPr>
          <w:rFonts w:eastAsia="Calibri" w:cs="Calibri"/>
          <w:spacing w:val="-5"/>
        </w:rPr>
        <w:t xml:space="preserve"> </w:t>
      </w:r>
      <w:r w:rsidRPr="002B60B2">
        <w:rPr>
          <w:rFonts w:eastAsia="Calibri" w:cs="Calibri"/>
        </w:rPr>
        <w:t>2007</w:t>
      </w:r>
      <w:r w:rsidRPr="002B60B2">
        <w:rPr>
          <w:rFonts w:eastAsia="Calibri" w:cs="Calibri"/>
          <w:spacing w:val="-4"/>
        </w:rPr>
        <w:t xml:space="preserve"> </w:t>
      </w:r>
      <w:r w:rsidRPr="002B60B2">
        <w:rPr>
          <w:rFonts w:eastAsia="Calibri" w:cs="Calibri"/>
        </w:rPr>
        <w:t>and</w:t>
      </w:r>
      <w:r w:rsidRPr="002B60B2">
        <w:rPr>
          <w:rFonts w:eastAsia="Calibri" w:cs="Calibri"/>
          <w:spacing w:val="-5"/>
        </w:rPr>
        <w:t xml:space="preserve"> </w:t>
      </w:r>
      <w:r w:rsidRPr="002B60B2">
        <w:rPr>
          <w:rFonts w:eastAsia="Calibri" w:cs="Calibri"/>
        </w:rPr>
        <w:t>the</w:t>
      </w:r>
      <w:r w:rsidRPr="002B60B2">
        <w:rPr>
          <w:rFonts w:eastAsia="Calibri" w:cs="Calibri"/>
          <w:spacing w:val="-4"/>
        </w:rPr>
        <w:t xml:space="preserve"> </w:t>
      </w:r>
      <w:r w:rsidRPr="002B60B2">
        <w:rPr>
          <w:rFonts w:eastAsia="Calibri" w:cs="Calibri"/>
        </w:rPr>
        <w:t>financial</w:t>
      </w:r>
      <w:r w:rsidRPr="002B60B2">
        <w:rPr>
          <w:rFonts w:eastAsia="Calibri" w:cs="Calibri"/>
          <w:spacing w:val="-4"/>
        </w:rPr>
        <w:t xml:space="preserve"> </w:t>
      </w:r>
      <w:r w:rsidRPr="002B60B2">
        <w:rPr>
          <w:rFonts w:eastAsia="Calibri" w:cs="Calibri"/>
        </w:rPr>
        <w:t>planning</w:t>
      </w:r>
      <w:r w:rsidRPr="002B60B2">
        <w:rPr>
          <w:rFonts w:eastAsia="Calibri" w:cs="Calibri"/>
          <w:spacing w:val="-5"/>
        </w:rPr>
        <w:t xml:space="preserve"> </w:t>
      </w:r>
      <w:r w:rsidRPr="002B60B2">
        <w:rPr>
          <w:rFonts w:eastAsia="Calibri" w:cs="Calibri"/>
        </w:rPr>
        <w:t>development</w:t>
      </w:r>
      <w:r w:rsidRPr="002B60B2">
        <w:rPr>
          <w:rFonts w:eastAsia="Calibri" w:cs="Calibri"/>
          <w:spacing w:val="-5"/>
        </w:rPr>
        <w:t xml:space="preserve"> </w:t>
      </w:r>
      <w:r w:rsidRPr="002B60B2">
        <w:rPr>
          <w:rFonts w:eastAsia="Calibri" w:cs="Calibri"/>
        </w:rPr>
        <w:t>capstone</w:t>
      </w:r>
      <w:r w:rsidRPr="002B60B2">
        <w:rPr>
          <w:rFonts w:eastAsia="Calibri" w:cs="Calibri"/>
          <w:spacing w:val="-4"/>
        </w:rPr>
        <w:t xml:space="preserve"> </w:t>
      </w:r>
      <w:r w:rsidRPr="002B60B2">
        <w:rPr>
          <w:rFonts w:eastAsia="Calibri" w:cs="Calibri"/>
        </w:rPr>
        <w:t>course</w:t>
      </w:r>
      <w:r w:rsidRPr="002B60B2">
        <w:rPr>
          <w:rFonts w:eastAsia="Calibri" w:cs="Calibri"/>
          <w:spacing w:val="-4"/>
        </w:rPr>
        <w:t xml:space="preserve"> </w:t>
      </w:r>
      <w:r w:rsidRPr="002B60B2">
        <w:rPr>
          <w:rFonts w:eastAsia="Calibri" w:cs="Calibri"/>
        </w:rPr>
        <w:t>requirement in March 2012.</w:t>
      </w:r>
      <w:r w:rsidRPr="002B60B2">
        <w:rPr>
          <w:rFonts w:eastAsia="Calibri" w:cs="Calibri"/>
          <w:spacing w:val="40"/>
        </w:rPr>
        <w:t xml:space="preserve"> </w:t>
      </w:r>
      <w:r w:rsidRPr="002B60B2">
        <w:rPr>
          <w:rFonts w:eastAsia="Calibri" w:cs="Calibri"/>
        </w:rPr>
        <w:t>Therefore, a CFP</w:t>
      </w:r>
      <w:r w:rsidRPr="002B60B2">
        <w:rPr>
          <w:rFonts w:eastAsia="Calibri" w:cs="Calibri"/>
          <w:vertAlign w:val="superscript"/>
        </w:rPr>
        <w:t>®</w:t>
      </w:r>
      <w:r w:rsidRPr="002B60B2">
        <w:rPr>
          <w:rFonts w:eastAsia="Calibri" w:cs="Calibri"/>
        </w:rPr>
        <w:t xml:space="preserve"> professional who first became certified before those dates</w:t>
      </w:r>
      <w:r w:rsidRPr="002B60B2">
        <w:rPr>
          <w:rFonts w:eastAsia="Calibri" w:cs="Calibri"/>
          <w:spacing w:val="-5"/>
        </w:rPr>
        <w:t xml:space="preserve"> </w:t>
      </w:r>
      <w:r w:rsidRPr="002B60B2">
        <w:rPr>
          <w:rFonts w:eastAsia="Calibri" w:cs="Calibri"/>
        </w:rPr>
        <w:t>may</w:t>
      </w:r>
      <w:r w:rsidRPr="002B60B2">
        <w:rPr>
          <w:rFonts w:eastAsia="Calibri" w:cs="Calibri"/>
          <w:spacing w:val="-3"/>
        </w:rPr>
        <w:t xml:space="preserve"> </w:t>
      </w:r>
      <w:r w:rsidRPr="002B60B2">
        <w:rPr>
          <w:rFonts w:eastAsia="Calibri" w:cs="Calibri"/>
        </w:rPr>
        <w:t>not</w:t>
      </w:r>
      <w:r w:rsidRPr="002B60B2">
        <w:rPr>
          <w:rFonts w:eastAsia="Calibri" w:cs="Calibri"/>
          <w:spacing w:val="-3"/>
        </w:rPr>
        <w:t xml:space="preserve"> </w:t>
      </w:r>
      <w:r w:rsidRPr="002B60B2">
        <w:rPr>
          <w:rFonts w:eastAsia="Calibri" w:cs="Calibri"/>
        </w:rPr>
        <w:t>have</w:t>
      </w:r>
      <w:r w:rsidRPr="002B60B2">
        <w:rPr>
          <w:rFonts w:eastAsia="Calibri" w:cs="Calibri"/>
          <w:spacing w:val="-4"/>
        </w:rPr>
        <w:t xml:space="preserve"> </w:t>
      </w:r>
      <w:r w:rsidRPr="002B60B2">
        <w:rPr>
          <w:rFonts w:eastAsia="Calibri" w:cs="Calibri"/>
        </w:rPr>
        <w:t>earned a</w:t>
      </w:r>
      <w:r w:rsidRPr="002B60B2">
        <w:rPr>
          <w:rFonts w:eastAsia="Calibri" w:cs="Calibri"/>
          <w:spacing w:val="-5"/>
        </w:rPr>
        <w:t xml:space="preserve"> </w:t>
      </w:r>
      <w:r w:rsidRPr="002B60B2">
        <w:rPr>
          <w:rFonts w:eastAsia="Calibri" w:cs="Calibri"/>
        </w:rPr>
        <w:t>bachelor’s</w:t>
      </w:r>
      <w:r w:rsidRPr="002B60B2">
        <w:rPr>
          <w:rFonts w:eastAsia="Calibri" w:cs="Calibri"/>
          <w:spacing w:val="-4"/>
        </w:rPr>
        <w:t xml:space="preserve"> </w:t>
      </w:r>
      <w:r w:rsidRPr="002B60B2">
        <w:rPr>
          <w:rFonts w:eastAsia="Calibri" w:cs="Calibri"/>
        </w:rPr>
        <w:t>or</w:t>
      </w:r>
      <w:r w:rsidRPr="002B60B2">
        <w:rPr>
          <w:rFonts w:eastAsia="Calibri" w:cs="Calibri"/>
          <w:spacing w:val="-4"/>
        </w:rPr>
        <w:t xml:space="preserve"> </w:t>
      </w:r>
      <w:r w:rsidRPr="002B60B2">
        <w:rPr>
          <w:rFonts w:eastAsia="Calibri" w:cs="Calibri"/>
        </w:rPr>
        <w:t>higher</w:t>
      </w:r>
      <w:r w:rsidRPr="002B60B2">
        <w:rPr>
          <w:rFonts w:eastAsia="Calibri" w:cs="Calibri"/>
          <w:spacing w:val="-5"/>
        </w:rPr>
        <w:t xml:space="preserve"> </w:t>
      </w:r>
      <w:r w:rsidRPr="002B60B2">
        <w:rPr>
          <w:rFonts w:eastAsia="Calibri" w:cs="Calibri"/>
        </w:rPr>
        <w:t>degree</w:t>
      </w:r>
      <w:r w:rsidRPr="002B60B2">
        <w:rPr>
          <w:rFonts w:eastAsia="Calibri" w:cs="Calibri"/>
          <w:spacing w:val="-3"/>
        </w:rPr>
        <w:t xml:space="preserve"> </w:t>
      </w:r>
      <w:r w:rsidRPr="002B60B2">
        <w:rPr>
          <w:rFonts w:eastAsia="Calibri" w:cs="Calibri"/>
        </w:rPr>
        <w:t>or</w:t>
      </w:r>
      <w:r w:rsidRPr="002B60B2">
        <w:rPr>
          <w:rFonts w:eastAsia="Calibri" w:cs="Calibri"/>
          <w:spacing w:val="-5"/>
        </w:rPr>
        <w:t xml:space="preserve"> </w:t>
      </w:r>
      <w:r w:rsidRPr="002B60B2">
        <w:rPr>
          <w:rFonts w:eastAsia="Calibri" w:cs="Calibri"/>
        </w:rPr>
        <w:t>completed a</w:t>
      </w:r>
      <w:r w:rsidRPr="002B60B2">
        <w:rPr>
          <w:rFonts w:eastAsia="Calibri" w:cs="Calibri"/>
          <w:spacing w:val="-5"/>
        </w:rPr>
        <w:t xml:space="preserve"> </w:t>
      </w:r>
      <w:r w:rsidRPr="002B60B2">
        <w:rPr>
          <w:rFonts w:eastAsia="Calibri" w:cs="Calibri"/>
        </w:rPr>
        <w:t>financial</w:t>
      </w:r>
      <w:r w:rsidRPr="002B60B2">
        <w:rPr>
          <w:rFonts w:eastAsia="Calibri" w:cs="Calibri"/>
          <w:spacing w:val="-4"/>
        </w:rPr>
        <w:t xml:space="preserve"> </w:t>
      </w:r>
      <w:r w:rsidRPr="002B60B2">
        <w:rPr>
          <w:rFonts w:eastAsia="Calibri" w:cs="Calibri"/>
        </w:rPr>
        <w:t>planning development capstone course.</w:t>
      </w:r>
    </w:p>
    <w:p w14:paraId="16B6F142" w14:textId="77777777" w:rsidR="00612CF5" w:rsidRDefault="00612CF5" w:rsidP="00612CF5">
      <w:pPr>
        <w:pStyle w:val="ListParagraph"/>
        <w:widowControl w:val="0"/>
        <w:numPr>
          <w:ilvl w:val="0"/>
          <w:numId w:val="12"/>
        </w:numPr>
        <w:tabs>
          <w:tab w:val="left" w:pos="819"/>
          <w:tab w:val="left" w:pos="820"/>
        </w:tabs>
        <w:autoSpaceDE w:val="0"/>
        <w:autoSpaceDN w:val="0"/>
        <w:spacing w:before="78"/>
        <w:ind w:right="179"/>
        <w:contextualSpacing w:val="0"/>
      </w:pPr>
      <w:r>
        <w:rPr>
          <w:b/>
        </w:rPr>
        <w:lastRenderedPageBreak/>
        <w:t>Examination</w:t>
      </w:r>
      <w:r>
        <w:rPr>
          <w:b/>
          <w:spacing w:val="-5"/>
        </w:rPr>
        <w:t xml:space="preserve"> </w:t>
      </w:r>
      <w:r>
        <w:t>–</w:t>
      </w:r>
      <w:r>
        <w:rPr>
          <w:spacing w:val="-5"/>
        </w:rPr>
        <w:t xml:space="preserve"> </w:t>
      </w:r>
      <w:r>
        <w:t>Pass</w:t>
      </w:r>
      <w:r>
        <w:rPr>
          <w:spacing w:val="-5"/>
        </w:rPr>
        <w:t xml:space="preserve"> </w:t>
      </w:r>
      <w:r>
        <w:t>the</w:t>
      </w:r>
      <w:r>
        <w:rPr>
          <w:spacing w:val="-2"/>
        </w:rPr>
        <w:t xml:space="preserve"> </w:t>
      </w:r>
      <w:r>
        <w:t>comprehensive</w:t>
      </w:r>
      <w:r>
        <w:rPr>
          <w:spacing w:val="-6"/>
        </w:rPr>
        <w:t xml:space="preserve"> </w:t>
      </w:r>
      <w:r>
        <w:t>CFP</w:t>
      </w:r>
      <w:r>
        <w:rPr>
          <w:vertAlign w:val="superscript"/>
        </w:rPr>
        <w:t>®</w:t>
      </w:r>
      <w:r>
        <w:rPr>
          <w:spacing w:val="-4"/>
        </w:rPr>
        <w:t xml:space="preserve"> </w:t>
      </w:r>
      <w:r>
        <w:t>Certification</w:t>
      </w:r>
      <w:r>
        <w:rPr>
          <w:spacing w:val="-1"/>
        </w:rPr>
        <w:t xml:space="preserve"> </w:t>
      </w:r>
      <w:r>
        <w:t>Examination.</w:t>
      </w:r>
      <w:r>
        <w:rPr>
          <w:spacing w:val="-5"/>
        </w:rPr>
        <w:t xml:space="preserve"> </w:t>
      </w:r>
      <w:r>
        <w:t>The</w:t>
      </w:r>
      <w:r>
        <w:rPr>
          <w:spacing w:val="-5"/>
        </w:rPr>
        <w:t xml:space="preserve"> </w:t>
      </w:r>
      <w:r>
        <w:t>examination</w:t>
      </w:r>
      <w:r>
        <w:rPr>
          <w:spacing w:val="-5"/>
        </w:rPr>
        <w:t xml:space="preserve"> </w:t>
      </w:r>
      <w:r>
        <w:t xml:space="preserve">is designed to </w:t>
      </w:r>
      <w:r>
        <w:rPr>
          <w:color w:val="333333"/>
        </w:rPr>
        <w:t>assess an individual’s ability to integrate and apply a broad base of financial planning knowledge in the context of real-life financial planning situations</w:t>
      </w:r>
      <w:r>
        <w:t>.</w:t>
      </w:r>
    </w:p>
    <w:p w14:paraId="03523936" w14:textId="77777777" w:rsidR="00612CF5" w:rsidRDefault="00612CF5" w:rsidP="00612CF5">
      <w:pPr>
        <w:pStyle w:val="ListParagraph"/>
        <w:widowControl w:val="0"/>
        <w:numPr>
          <w:ilvl w:val="0"/>
          <w:numId w:val="12"/>
        </w:numPr>
        <w:tabs>
          <w:tab w:val="left" w:pos="819"/>
          <w:tab w:val="left" w:pos="820"/>
        </w:tabs>
        <w:autoSpaceDE w:val="0"/>
        <w:autoSpaceDN w:val="0"/>
        <w:spacing w:before="2"/>
        <w:ind w:right="581"/>
        <w:contextualSpacing w:val="0"/>
      </w:pPr>
      <w:r>
        <w:rPr>
          <w:b/>
        </w:rPr>
        <w:t>Experience</w:t>
      </w:r>
      <w:r>
        <w:rPr>
          <w:b/>
          <w:spacing w:val="-5"/>
        </w:rPr>
        <w:t xml:space="preserve"> </w:t>
      </w:r>
      <w:r>
        <w:t>–</w:t>
      </w:r>
      <w:r>
        <w:rPr>
          <w:spacing w:val="-5"/>
        </w:rPr>
        <w:t xml:space="preserve"> </w:t>
      </w:r>
      <w:r>
        <w:t>Complete</w:t>
      </w:r>
      <w:r>
        <w:rPr>
          <w:spacing w:val="-3"/>
        </w:rPr>
        <w:t xml:space="preserve"> </w:t>
      </w:r>
      <w:r>
        <w:t>6,000</w:t>
      </w:r>
      <w:r>
        <w:rPr>
          <w:spacing w:val="-5"/>
        </w:rPr>
        <w:t xml:space="preserve"> </w:t>
      </w:r>
      <w:r>
        <w:t>hours</w:t>
      </w:r>
      <w:r>
        <w:rPr>
          <w:spacing w:val="-5"/>
        </w:rPr>
        <w:t xml:space="preserve"> </w:t>
      </w:r>
      <w:r>
        <w:t>of</w:t>
      </w:r>
      <w:r>
        <w:rPr>
          <w:spacing w:val="-6"/>
        </w:rPr>
        <w:t xml:space="preserve"> </w:t>
      </w:r>
      <w:r>
        <w:t>professional</w:t>
      </w:r>
      <w:r>
        <w:rPr>
          <w:spacing w:val="-5"/>
        </w:rPr>
        <w:t xml:space="preserve"> </w:t>
      </w:r>
      <w:r>
        <w:t>experience</w:t>
      </w:r>
      <w:r>
        <w:rPr>
          <w:spacing w:val="-6"/>
        </w:rPr>
        <w:t xml:space="preserve"> </w:t>
      </w:r>
      <w:r>
        <w:t>related</w:t>
      </w:r>
      <w:r>
        <w:rPr>
          <w:spacing w:val="-6"/>
        </w:rPr>
        <w:t xml:space="preserve"> </w:t>
      </w:r>
      <w:r>
        <w:t>to</w:t>
      </w:r>
      <w:r>
        <w:rPr>
          <w:spacing w:val="-5"/>
        </w:rPr>
        <w:t xml:space="preserve"> </w:t>
      </w:r>
      <w:r>
        <w:t>the</w:t>
      </w:r>
      <w:r>
        <w:rPr>
          <w:spacing w:val="-3"/>
        </w:rPr>
        <w:t xml:space="preserve"> </w:t>
      </w:r>
      <w:r>
        <w:t>personal financial planning process, or 4,000 hours of apprenticeship experience that meets additional requirements.</w:t>
      </w:r>
    </w:p>
    <w:p w14:paraId="046983FE" w14:textId="77777777" w:rsidR="00612CF5" w:rsidRDefault="00612CF5" w:rsidP="00612CF5">
      <w:pPr>
        <w:pStyle w:val="ListParagraph"/>
        <w:widowControl w:val="0"/>
        <w:numPr>
          <w:ilvl w:val="0"/>
          <w:numId w:val="12"/>
        </w:numPr>
        <w:tabs>
          <w:tab w:val="left" w:pos="819"/>
          <w:tab w:val="left" w:pos="820"/>
        </w:tabs>
        <w:autoSpaceDE w:val="0"/>
        <w:autoSpaceDN w:val="0"/>
        <w:ind w:right="165"/>
        <w:contextualSpacing w:val="0"/>
      </w:pPr>
      <w:r>
        <w:rPr>
          <w:b/>
        </w:rPr>
        <w:t>Ethics</w:t>
      </w:r>
      <w:r>
        <w:rPr>
          <w:b/>
          <w:spacing w:val="-2"/>
        </w:rPr>
        <w:t xml:space="preserve"> </w:t>
      </w:r>
      <w:r>
        <w:t>–</w:t>
      </w:r>
      <w:r>
        <w:rPr>
          <w:spacing w:val="-2"/>
        </w:rPr>
        <w:t xml:space="preserve"> </w:t>
      </w:r>
      <w:r>
        <w:t>Satisfy</w:t>
      </w:r>
      <w:r>
        <w:rPr>
          <w:spacing w:val="-2"/>
        </w:rPr>
        <w:t xml:space="preserve"> </w:t>
      </w:r>
      <w:r>
        <w:t xml:space="preserve">the </w:t>
      </w:r>
      <w:r>
        <w:rPr>
          <w:i/>
        </w:rPr>
        <w:t>Fitness</w:t>
      </w:r>
      <w:r>
        <w:rPr>
          <w:i/>
          <w:spacing w:val="-4"/>
        </w:rPr>
        <w:t xml:space="preserve"> </w:t>
      </w:r>
      <w:r>
        <w:rPr>
          <w:i/>
        </w:rPr>
        <w:t>Standards</w:t>
      </w:r>
      <w:r>
        <w:rPr>
          <w:i/>
          <w:spacing w:val="-1"/>
        </w:rPr>
        <w:t xml:space="preserve"> </w:t>
      </w:r>
      <w:r>
        <w:rPr>
          <w:i/>
        </w:rPr>
        <w:t>for</w:t>
      </w:r>
      <w:r>
        <w:rPr>
          <w:i/>
          <w:spacing w:val="-5"/>
        </w:rPr>
        <w:t xml:space="preserve"> </w:t>
      </w:r>
      <w:r>
        <w:rPr>
          <w:i/>
        </w:rPr>
        <w:t>Candidates</w:t>
      </w:r>
      <w:r>
        <w:rPr>
          <w:i/>
          <w:spacing w:val="-5"/>
        </w:rPr>
        <w:t xml:space="preserve"> </w:t>
      </w:r>
      <w:r>
        <w:rPr>
          <w:i/>
        </w:rPr>
        <w:t>for</w:t>
      </w:r>
      <w:r>
        <w:rPr>
          <w:i/>
          <w:spacing w:val="-4"/>
        </w:rPr>
        <w:t xml:space="preserve"> </w:t>
      </w:r>
      <w:r>
        <w:rPr>
          <w:i/>
        </w:rPr>
        <w:t>CFP</w:t>
      </w:r>
      <w:r>
        <w:rPr>
          <w:i/>
          <w:vertAlign w:val="superscript"/>
        </w:rPr>
        <w:t>®</w:t>
      </w:r>
      <w:r>
        <w:rPr>
          <w:i/>
          <w:spacing w:val="-3"/>
        </w:rPr>
        <w:t xml:space="preserve"> </w:t>
      </w:r>
      <w:r>
        <w:rPr>
          <w:i/>
        </w:rPr>
        <w:t>Certification</w:t>
      </w:r>
      <w:r>
        <w:rPr>
          <w:i/>
          <w:spacing w:val="-5"/>
        </w:rPr>
        <w:t xml:space="preserve"> </w:t>
      </w:r>
      <w:r>
        <w:rPr>
          <w:i/>
        </w:rPr>
        <w:t>and</w:t>
      </w:r>
      <w:r>
        <w:rPr>
          <w:i/>
          <w:spacing w:val="-5"/>
        </w:rPr>
        <w:t xml:space="preserve"> </w:t>
      </w:r>
      <w:r>
        <w:rPr>
          <w:i/>
        </w:rPr>
        <w:t>Former</w:t>
      </w:r>
      <w:r>
        <w:rPr>
          <w:i/>
          <w:spacing w:val="-4"/>
        </w:rPr>
        <w:t xml:space="preserve"> </w:t>
      </w:r>
      <w:r>
        <w:rPr>
          <w:i/>
        </w:rPr>
        <w:t>CFP</w:t>
      </w:r>
      <w:r>
        <w:rPr>
          <w:i/>
          <w:vertAlign w:val="superscript"/>
        </w:rPr>
        <w:t>®</w:t>
      </w:r>
      <w:r>
        <w:rPr>
          <w:i/>
        </w:rPr>
        <w:t xml:space="preserve"> Professionals Seeking Reinstatement </w:t>
      </w:r>
      <w:r>
        <w:t>and agree to be bound by</w:t>
      </w:r>
      <w:r>
        <w:rPr>
          <w:spacing w:val="-2"/>
        </w:rPr>
        <w:t xml:space="preserve"> </w:t>
      </w:r>
      <w:r>
        <w:t xml:space="preserve">CFP Board’s </w:t>
      </w:r>
      <w:r>
        <w:rPr>
          <w:i/>
        </w:rPr>
        <w:t>Code of Ethics and Standards of Conduct (“Code and Standards”)</w:t>
      </w:r>
      <w:r>
        <w:t>, which sets forth the ethical and practice standards for CFP</w:t>
      </w:r>
      <w:r>
        <w:rPr>
          <w:vertAlign w:val="superscript"/>
        </w:rPr>
        <w:t>®</w:t>
      </w:r>
      <w:r>
        <w:t xml:space="preserve"> professionals.</w:t>
      </w:r>
    </w:p>
    <w:p w14:paraId="5EF963AB" w14:textId="77777777" w:rsidR="00612CF5" w:rsidRDefault="00612CF5" w:rsidP="00612CF5">
      <w:pPr>
        <w:pStyle w:val="BodyText"/>
      </w:pPr>
    </w:p>
    <w:p w14:paraId="20717107" w14:textId="77777777" w:rsidR="00612CF5" w:rsidRDefault="00612CF5" w:rsidP="00612CF5">
      <w:pPr>
        <w:pStyle w:val="BodyText"/>
        <w:ind w:left="100"/>
      </w:pPr>
      <w:r>
        <w:t>Individuals</w:t>
      </w:r>
      <w:r>
        <w:rPr>
          <w:spacing w:val="-4"/>
        </w:rPr>
        <w:t xml:space="preserve"> </w:t>
      </w:r>
      <w:r>
        <w:t>who</w:t>
      </w:r>
      <w:r>
        <w:rPr>
          <w:spacing w:val="-4"/>
        </w:rPr>
        <w:t xml:space="preserve"> </w:t>
      </w:r>
      <w:r>
        <w:t>become</w:t>
      </w:r>
      <w:r>
        <w:rPr>
          <w:spacing w:val="-5"/>
        </w:rPr>
        <w:t xml:space="preserve"> </w:t>
      </w:r>
      <w:r>
        <w:t>certified</w:t>
      </w:r>
      <w:r>
        <w:rPr>
          <w:spacing w:val="-4"/>
        </w:rPr>
        <w:t xml:space="preserve"> </w:t>
      </w:r>
      <w:r>
        <w:t>must</w:t>
      </w:r>
      <w:r>
        <w:rPr>
          <w:spacing w:val="-5"/>
        </w:rPr>
        <w:t xml:space="preserve"> </w:t>
      </w:r>
      <w:r>
        <w:t>complete</w:t>
      </w:r>
      <w:r>
        <w:rPr>
          <w:spacing w:val="-7"/>
        </w:rPr>
        <w:t xml:space="preserve"> </w:t>
      </w:r>
      <w:r>
        <w:t>the</w:t>
      </w:r>
      <w:r>
        <w:rPr>
          <w:spacing w:val="-5"/>
        </w:rPr>
        <w:t xml:space="preserve"> </w:t>
      </w:r>
      <w:r>
        <w:t>following</w:t>
      </w:r>
      <w:r>
        <w:rPr>
          <w:spacing w:val="-4"/>
        </w:rPr>
        <w:t xml:space="preserve"> </w:t>
      </w:r>
      <w:r>
        <w:t>ongoing</w:t>
      </w:r>
      <w:r>
        <w:rPr>
          <w:spacing w:val="-6"/>
        </w:rPr>
        <w:t xml:space="preserve"> </w:t>
      </w:r>
      <w:r>
        <w:t>education</w:t>
      </w:r>
      <w:r>
        <w:rPr>
          <w:spacing w:val="-1"/>
        </w:rPr>
        <w:t xml:space="preserve"> </w:t>
      </w:r>
      <w:r>
        <w:t>and</w:t>
      </w:r>
      <w:r>
        <w:rPr>
          <w:spacing w:val="-5"/>
        </w:rPr>
        <w:t xml:space="preserve"> </w:t>
      </w:r>
      <w:r>
        <w:t>ethics requirements to remain certified and maintain the right to continue to use the CFP Board Certification Marks:</w:t>
      </w:r>
    </w:p>
    <w:p w14:paraId="3B09E2E6" w14:textId="77777777" w:rsidR="00612CF5" w:rsidRDefault="00612CF5" w:rsidP="00612CF5">
      <w:pPr>
        <w:pStyle w:val="BodyText"/>
        <w:spacing w:before="10"/>
        <w:rPr>
          <w:sz w:val="23"/>
        </w:rPr>
      </w:pPr>
    </w:p>
    <w:p w14:paraId="055264BB" w14:textId="1BB00204" w:rsidR="00612CF5" w:rsidRDefault="00612CF5" w:rsidP="00612CF5">
      <w:pPr>
        <w:pStyle w:val="ListParagraph"/>
        <w:widowControl w:val="0"/>
        <w:numPr>
          <w:ilvl w:val="0"/>
          <w:numId w:val="12"/>
        </w:numPr>
        <w:tabs>
          <w:tab w:val="left" w:pos="819"/>
          <w:tab w:val="left" w:pos="820"/>
        </w:tabs>
        <w:autoSpaceDE w:val="0"/>
        <w:autoSpaceDN w:val="0"/>
        <w:spacing w:before="1"/>
        <w:ind w:right="202"/>
        <w:contextualSpacing w:val="0"/>
      </w:pPr>
      <w:r>
        <w:rPr>
          <w:b/>
        </w:rPr>
        <w:t xml:space="preserve">Ethics </w:t>
      </w:r>
      <w:r>
        <w:t xml:space="preserve">– Commit to complying with CFP Board’s </w:t>
      </w:r>
      <w:r>
        <w:rPr>
          <w:i/>
        </w:rPr>
        <w:t>Code and Standards</w:t>
      </w:r>
      <w:r>
        <w:t>.</w:t>
      </w:r>
      <w:r>
        <w:rPr>
          <w:spacing w:val="40"/>
        </w:rPr>
        <w:t xml:space="preserve"> </w:t>
      </w:r>
      <w:r>
        <w:t>This includes a commitment to</w:t>
      </w:r>
      <w:r>
        <w:rPr>
          <w:spacing w:val="-2"/>
        </w:rPr>
        <w:t xml:space="preserve"> </w:t>
      </w:r>
      <w:r>
        <w:t>the CFP</w:t>
      </w:r>
      <w:r>
        <w:rPr>
          <w:spacing w:val="-1"/>
        </w:rPr>
        <w:t xml:space="preserve"> </w:t>
      </w:r>
      <w:r>
        <w:t>Board, as</w:t>
      </w:r>
      <w:r>
        <w:rPr>
          <w:spacing w:val="-2"/>
        </w:rPr>
        <w:t xml:space="preserve"> </w:t>
      </w:r>
      <w:r>
        <w:t>part</w:t>
      </w:r>
      <w:r>
        <w:rPr>
          <w:spacing w:val="-2"/>
        </w:rPr>
        <w:t xml:space="preserve"> </w:t>
      </w:r>
      <w:r>
        <w:t>of the</w:t>
      </w:r>
      <w:r>
        <w:rPr>
          <w:spacing w:val="-2"/>
        </w:rPr>
        <w:t xml:space="preserve"> </w:t>
      </w:r>
      <w:r>
        <w:t>certification,</w:t>
      </w:r>
      <w:r>
        <w:rPr>
          <w:spacing w:val="-3"/>
        </w:rPr>
        <w:t xml:space="preserve"> </w:t>
      </w:r>
      <w:r>
        <w:t>to</w:t>
      </w:r>
      <w:r>
        <w:rPr>
          <w:spacing w:val="-2"/>
        </w:rPr>
        <w:t xml:space="preserve"> </w:t>
      </w:r>
      <w:r>
        <w:t>act</w:t>
      </w:r>
      <w:r>
        <w:rPr>
          <w:spacing w:val="-2"/>
        </w:rPr>
        <w:t xml:space="preserve"> </w:t>
      </w:r>
      <w:r>
        <w:t>as</w:t>
      </w:r>
      <w:r>
        <w:rPr>
          <w:spacing w:val="-1"/>
        </w:rPr>
        <w:t xml:space="preserve"> </w:t>
      </w:r>
      <w:r>
        <w:t>a</w:t>
      </w:r>
      <w:r>
        <w:rPr>
          <w:spacing w:val="-2"/>
        </w:rPr>
        <w:t xml:space="preserve"> </w:t>
      </w:r>
      <w:r>
        <w:t>fiduciary,</w:t>
      </w:r>
      <w:r>
        <w:rPr>
          <w:spacing w:val="-3"/>
        </w:rPr>
        <w:t xml:space="preserve"> </w:t>
      </w:r>
      <w:r>
        <w:t>and</w:t>
      </w:r>
      <w:r>
        <w:rPr>
          <w:spacing w:val="-2"/>
        </w:rPr>
        <w:t xml:space="preserve"> </w:t>
      </w:r>
      <w:r>
        <w:t xml:space="preserve">therefore, act in the best interests of the client, </w:t>
      </w:r>
      <w:proofErr w:type="gramStart"/>
      <w:r>
        <w:t>at all times</w:t>
      </w:r>
      <w:proofErr w:type="gramEnd"/>
      <w:r>
        <w:t xml:space="preserve"> when providing financial advice and financial</w:t>
      </w:r>
      <w:r>
        <w:rPr>
          <w:spacing w:val="-3"/>
        </w:rPr>
        <w:t xml:space="preserve"> </w:t>
      </w:r>
      <w:r>
        <w:t>planning.</w:t>
      </w:r>
      <w:r>
        <w:rPr>
          <w:spacing w:val="-3"/>
        </w:rPr>
        <w:t xml:space="preserve"> </w:t>
      </w:r>
      <w:r>
        <w:t>CFP</w:t>
      </w:r>
      <w:r>
        <w:rPr>
          <w:spacing w:val="-3"/>
        </w:rPr>
        <w:t xml:space="preserve"> </w:t>
      </w:r>
      <w:r>
        <w:t>Board</w:t>
      </w:r>
      <w:r>
        <w:rPr>
          <w:spacing w:val="-3"/>
        </w:rPr>
        <w:t xml:space="preserve"> </w:t>
      </w:r>
      <w:r>
        <w:t>may</w:t>
      </w:r>
      <w:r>
        <w:rPr>
          <w:spacing w:val="-3"/>
        </w:rPr>
        <w:t xml:space="preserve"> </w:t>
      </w:r>
      <w:r>
        <w:t>sanction</w:t>
      </w:r>
      <w:r>
        <w:rPr>
          <w:spacing w:val="-4"/>
        </w:rPr>
        <w:t xml:space="preserve"> </w:t>
      </w:r>
      <w:r>
        <w:t>a CFP</w:t>
      </w:r>
      <w:r>
        <w:rPr>
          <w:vertAlign w:val="superscript"/>
        </w:rPr>
        <w:t>®</w:t>
      </w:r>
      <w:r>
        <w:rPr>
          <w:spacing w:val="-2"/>
        </w:rPr>
        <w:t xml:space="preserve"> </w:t>
      </w:r>
      <w:r>
        <w:t>professional</w:t>
      </w:r>
      <w:r>
        <w:rPr>
          <w:spacing w:val="-4"/>
        </w:rPr>
        <w:t xml:space="preserve"> </w:t>
      </w:r>
      <w:r>
        <w:t>who</w:t>
      </w:r>
      <w:r>
        <w:rPr>
          <w:spacing w:val="-4"/>
        </w:rPr>
        <w:t xml:space="preserve"> </w:t>
      </w:r>
      <w:r>
        <w:t>does</w:t>
      </w:r>
      <w:r>
        <w:rPr>
          <w:spacing w:val="-4"/>
        </w:rPr>
        <w:t xml:space="preserve"> </w:t>
      </w:r>
      <w:r>
        <w:t>not</w:t>
      </w:r>
      <w:r>
        <w:rPr>
          <w:spacing w:val="-4"/>
        </w:rPr>
        <w:t xml:space="preserve"> </w:t>
      </w:r>
      <w:r>
        <w:t>abide</w:t>
      </w:r>
      <w:r>
        <w:rPr>
          <w:spacing w:val="-4"/>
        </w:rPr>
        <w:t xml:space="preserve"> </w:t>
      </w:r>
      <w:r>
        <w:t>by</w:t>
      </w:r>
      <w:r>
        <w:rPr>
          <w:spacing w:val="-1"/>
        </w:rPr>
        <w:t xml:space="preserve"> </w:t>
      </w:r>
      <w:r>
        <w:t>this commitment, but CFP Board does not guarantee a CFP</w:t>
      </w:r>
      <w:r>
        <w:rPr>
          <w:vertAlign w:val="superscript"/>
        </w:rPr>
        <w:t>®</w:t>
      </w:r>
      <w:r>
        <w:t xml:space="preserve"> </w:t>
      </w:r>
      <w:r w:rsidR="00C331FD">
        <w:t>professional’s service</w:t>
      </w:r>
      <w:r>
        <w:t>. A client who seeks a similar commitment should obtain a written engagement that includes a fiduciary obligation to the client.</w:t>
      </w:r>
    </w:p>
    <w:p w14:paraId="44EEFEE0" w14:textId="77777777" w:rsidR="00612CF5" w:rsidRDefault="00612CF5" w:rsidP="00612CF5">
      <w:pPr>
        <w:pStyle w:val="ListParagraph"/>
        <w:widowControl w:val="0"/>
        <w:numPr>
          <w:ilvl w:val="0"/>
          <w:numId w:val="12"/>
        </w:numPr>
        <w:tabs>
          <w:tab w:val="left" w:pos="819"/>
          <w:tab w:val="left" w:pos="820"/>
        </w:tabs>
        <w:autoSpaceDE w:val="0"/>
        <w:autoSpaceDN w:val="0"/>
        <w:ind w:right="146"/>
        <w:contextualSpacing w:val="0"/>
      </w:pPr>
      <w:r>
        <w:rPr>
          <w:b/>
        </w:rPr>
        <w:t xml:space="preserve">Continuing Education </w:t>
      </w:r>
      <w:r>
        <w:t>– Complete 30 hours of continuing education every two years to maintain competence, demonstrate specified levels of knowledge, skills, and abilities, and keep up</w:t>
      </w:r>
      <w:r>
        <w:rPr>
          <w:spacing w:val="-4"/>
        </w:rPr>
        <w:t xml:space="preserve"> </w:t>
      </w:r>
      <w:r>
        <w:t>with</w:t>
      </w:r>
      <w:r>
        <w:rPr>
          <w:spacing w:val="-5"/>
        </w:rPr>
        <w:t xml:space="preserve"> </w:t>
      </w:r>
      <w:r>
        <w:t>developments</w:t>
      </w:r>
      <w:r>
        <w:rPr>
          <w:spacing w:val="-1"/>
        </w:rPr>
        <w:t xml:space="preserve"> </w:t>
      </w:r>
      <w:r>
        <w:t>in</w:t>
      </w:r>
      <w:r>
        <w:rPr>
          <w:spacing w:val="-4"/>
        </w:rPr>
        <w:t xml:space="preserve"> </w:t>
      </w:r>
      <w:r>
        <w:t>financial</w:t>
      </w:r>
      <w:r>
        <w:rPr>
          <w:spacing w:val="-4"/>
        </w:rPr>
        <w:t xml:space="preserve"> </w:t>
      </w:r>
      <w:r>
        <w:t>planning.</w:t>
      </w:r>
      <w:r>
        <w:rPr>
          <w:spacing w:val="40"/>
        </w:rPr>
        <w:t xml:space="preserve"> </w:t>
      </w:r>
      <w:r>
        <w:t>Two</w:t>
      </w:r>
      <w:r>
        <w:rPr>
          <w:spacing w:val="-4"/>
        </w:rPr>
        <w:t xml:space="preserve"> </w:t>
      </w:r>
      <w:r>
        <w:t>of</w:t>
      </w:r>
      <w:r>
        <w:rPr>
          <w:spacing w:val="-4"/>
        </w:rPr>
        <w:t xml:space="preserve"> </w:t>
      </w:r>
      <w:r>
        <w:t>the</w:t>
      </w:r>
      <w:r>
        <w:rPr>
          <w:spacing w:val="-4"/>
        </w:rPr>
        <w:t xml:space="preserve"> </w:t>
      </w:r>
      <w:r>
        <w:t>hours</w:t>
      </w:r>
      <w:r>
        <w:rPr>
          <w:spacing w:val="-1"/>
        </w:rPr>
        <w:t xml:space="preserve"> </w:t>
      </w:r>
      <w:r>
        <w:t>must</w:t>
      </w:r>
      <w:r>
        <w:rPr>
          <w:spacing w:val="-5"/>
        </w:rPr>
        <w:t xml:space="preserve"> </w:t>
      </w:r>
      <w:proofErr w:type="gramStart"/>
      <w:r>
        <w:t>address</w:t>
      </w:r>
      <w:proofErr w:type="gramEnd"/>
      <w:r>
        <w:rPr>
          <w:spacing w:val="-5"/>
        </w:rPr>
        <w:t xml:space="preserve"> </w:t>
      </w:r>
      <w:r>
        <w:t xml:space="preserve">the </w:t>
      </w:r>
      <w:r>
        <w:rPr>
          <w:i/>
        </w:rPr>
        <w:t>Code and Standards</w:t>
      </w:r>
      <w:r>
        <w:t>.</w:t>
      </w:r>
    </w:p>
    <w:p w14:paraId="6D0C8496" w14:textId="77777777" w:rsidR="00E71F1F" w:rsidRPr="00BA69CA" w:rsidRDefault="00E71F1F" w:rsidP="00E71F1F">
      <w:pPr>
        <w:widowControl w:val="0"/>
        <w:overflowPunct w:val="0"/>
        <w:autoSpaceDE w:val="0"/>
        <w:autoSpaceDN w:val="0"/>
        <w:adjustRightInd w:val="0"/>
        <w:spacing w:line="252" w:lineRule="auto"/>
        <w:ind w:left="1440" w:right="1400" w:hanging="1440"/>
        <w:rPr>
          <w:rFonts w:ascii="Times New Roman" w:hAnsi="Times New Roman"/>
          <w:szCs w:val="24"/>
        </w:rPr>
      </w:pPr>
    </w:p>
    <w:p w14:paraId="14476149" w14:textId="77777777" w:rsidR="00E71F1F" w:rsidRPr="00BA69CA" w:rsidRDefault="00E71F1F" w:rsidP="00E71F1F">
      <w:pPr>
        <w:widowControl w:val="0"/>
        <w:autoSpaceDE w:val="0"/>
        <w:autoSpaceDN w:val="0"/>
        <w:adjustRightInd w:val="0"/>
        <w:spacing w:line="157" w:lineRule="exact"/>
        <w:rPr>
          <w:rFonts w:ascii="Times New Roman" w:hAnsi="Times New Roman"/>
          <w:szCs w:val="24"/>
        </w:rPr>
      </w:pPr>
    </w:p>
    <w:p w14:paraId="12E3F15C" w14:textId="77777777" w:rsidR="00C828BE" w:rsidRDefault="00C828BE" w:rsidP="00557C27">
      <w:pPr>
        <w:rPr>
          <w:rFonts w:cs="Arial"/>
          <w:sz w:val="28"/>
          <w:szCs w:val="28"/>
          <w:u w:val="single"/>
        </w:rPr>
      </w:pPr>
    </w:p>
    <w:p w14:paraId="116BEB7D" w14:textId="5C67BDA9" w:rsidR="00E71F1F" w:rsidRPr="00403ADD" w:rsidRDefault="00F5059D" w:rsidP="00557C27">
      <w:pPr>
        <w:rPr>
          <w:rFonts w:cs="Arial"/>
          <w:sz w:val="28"/>
          <w:szCs w:val="28"/>
          <w:u w:val="single"/>
        </w:rPr>
      </w:pPr>
      <w:r w:rsidRPr="00403ADD">
        <w:rPr>
          <w:rFonts w:cs="Arial"/>
          <w:sz w:val="28"/>
          <w:szCs w:val="28"/>
          <w:u w:val="single"/>
        </w:rPr>
        <w:t xml:space="preserve">Item 3 - </w:t>
      </w:r>
      <w:r w:rsidR="00E71F1F" w:rsidRPr="00403ADD">
        <w:rPr>
          <w:rFonts w:cs="Arial"/>
          <w:sz w:val="28"/>
          <w:szCs w:val="28"/>
          <w:u w:val="single"/>
        </w:rPr>
        <w:t>Disciplinary Information</w:t>
      </w:r>
    </w:p>
    <w:p w14:paraId="214B0E52" w14:textId="77777777" w:rsidR="00403ADD" w:rsidRDefault="00403ADD" w:rsidP="008E42D2"/>
    <w:p w14:paraId="64DC86C3" w14:textId="77777777" w:rsidR="00C828BE" w:rsidRPr="004C2BCB" w:rsidRDefault="00C828BE" w:rsidP="00C828BE">
      <w:pPr>
        <w:rPr>
          <w:rFonts w:ascii="Times New Roman" w:hAnsi="Times New Roman"/>
          <w:szCs w:val="24"/>
        </w:rPr>
      </w:pPr>
      <w:r w:rsidRPr="004C2BCB">
        <w:t>There are no disclosure events involving a criminal or civil action in a domestic, foreign, or military court of competent jurisdiction in which FPH or its personnel are involved.</w:t>
      </w:r>
    </w:p>
    <w:p w14:paraId="7B2AC5C5" w14:textId="77777777" w:rsidR="00C828BE" w:rsidRPr="004C2BCB" w:rsidRDefault="00C828BE" w:rsidP="00C828BE">
      <w:pPr>
        <w:rPr>
          <w:rFonts w:ascii="Times New Roman" w:hAnsi="Times New Roman"/>
          <w:szCs w:val="24"/>
        </w:rPr>
      </w:pPr>
    </w:p>
    <w:p w14:paraId="32F21C17" w14:textId="77777777" w:rsidR="00C828BE" w:rsidRPr="004C2BCB" w:rsidRDefault="00C828BE" w:rsidP="00C828BE">
      <w:pPr>
        <w:rPr>
          <w:rFonts w:ascii="Times New Roman" w:hAnsi="Times New Roman"/>
          <w:szCs w:val="24"/>
        </w:rPr>
      </w:pPr>
      <w:r w:rsidRPr="004C2BCB">
        <w:t>There are no disclosure events involving an administrative proceeding before the SEC, any other federal regulatory agency, any state regulatory agency, or any foreign financial regulatory authority in which FPH or its personnel are involved.</w:t>
      </w:r>
    </w:p>
    <w:p w14:paraId="0D2C6C36" w14:textId="77777777" w:rsidR="00C828BE" w:rsidRPr="004C2BCB" w:rsidRDefault="00C828BE" w:rsidP="00C828BE">
      <w:pPr>
        <w:rPr>
          <w:rFonts w:ascii="Times New Roman" w:hAnsi="Times New Roman"/>
          <w:szCs w:val="24"/>
        </w:rPr>
      </w:pPr>
    </w:p>
    <w:p w14:paraId="7C3FFC86" w14:textId="77777777" w:rsidR="00C828BE" w:rsidRPr="004C2BCB" w:rsidRDefault="00C828BE" w:rsidP="00C828BE">
      <w:pPr>
        <w:rPr>
          <w:rFonts w:ascii="Times New Roman" w:hAnsi="Times New Roman"/>
          <w:szCs w:val="24"/>
        </w:rPr>
      </w:pPr>
      <w:r w:rsidRPr="004C2BCB">
        <w:t>There are no disclosure events involving A self-regulatory organization (SRO) proceeding in which FPH or its personnel are involved.</w:t>
      </w:r>
    </w:p>
    <w:p w14:paraId="261E6D84" w14:textId="77777777" w:rsidR="00E71F1F" w:rsidRPr="00BA69CA" w:rsidRDefault="00E71F1F" w:rsidP="00E71F1F">
      <w:pPr>
        <w:widowControl w:val="0"/>
        <w:autoSpaceDE w:val="0"/>
        <w:autoSpaceDN w:val="0"/>
        <w:adjustRightInd w:val="0"/>
        <w:rPr>
          <w:rFonts w:ascii="Arial" w:hAnsi="Arial" w:cs="Arial"/>
          <w:b/>
          <w:bCs/>
          <w:szCs w:val="24"/>
        </w:rPr>
      </w:pPr>
    </w:p>
    <w:p w14:paraId="22356847" w14:textId="400C53B2" w:rsidR="00E71F1F" w:rsidRPr="00403ADD" w:rsidRDefault="00F5059D" w:rsidP="001F6526">
      <w:pPr>
        <w:spacing w:after="200" w:line="276" w:lineRule="auto"/>
        <w:rPr>
          <w:rFonts w:cs="Arial"/>
          <w:sz w:val="28"/>
          <w:szCs w:val="28"/>
          <w:u w:val="single"/>
        </w:rPr>
      </w:pPr>
      <w:r w:rsidRPr="00403ADD">
        <w:rPr>
          <w:rFonts w:cs="Arial"/>
          <w:sz w:val="28"/>
          <w:szCs w:val="28"/>
          <w:u w:val="single"/>
        </w:rPr>
        <w:t xml:space="preserve">Item 4 - </w:t>
      </w:r>
      <w:r w:rsidR="00E71F1F" w:rsidRPr="00403ADD">
        <w:rPr>
          <w:rFonts w:cs="Arial"/>
          <w:sz w:val="28"/>
          <w:szCs w:val="28"/>
          <w:u w:val="single"/>
        </w:rPr>
        <w:t>Other Business Activities</w:t>
      </w:r>
    </w:p>
    <w:p w14:paraId="75EE2436" w14:textId="4498C2D3" w:rsidR="00E71F1F" w:rsidRPr="00BA69CA" w:rsidRDefault="001F6526" w:rsidP="00A76E9F">
      <w:pPr>
        <w:rPr>
          <w:b/>
          <w:bCs/>
          <w:szCs w:val="24"/>
        </w:rPr>
      </w:pPr>
      <w:r>
        <w:t>Susan Gabor</w:t>
      </w:r>
      <w:r w:rsidR="00E71F1F" w:rsidRPr="00BA69CA">
        <w:t xml:space="preserve"> </w:t>
      </w:r>
      <w:r w:rsidR="00C828BE">
        <w:t>has no other investment-related business activities.</w:t>
      </w:r>
    </w:p>
    <w:p w14:paraId="4BF02334" w14:textId="77777777" w:rsidR="00E71F1F" w:rsidRPr="00BA69CA" w:rsidRDefault="00E71F1F" w:rsidP="00A76E9F">
      <w:pPr>
        <w:rPr>
          <w:rFonts w:ascii="Times New Roman" w:hAnsi="Times New Roman"/>
          <w:szCs w:val="24"/>
        </w:rPr>
      </w:pPr>
    </w:p>
    <w:p w14:paraId="025C9E44" w14:textId="77777777" w:rsidR="00E71F1F" w:rsidRPr="00BA69CA" w:rsidRDefault="00E71F1F" w:rsidP="00E71F1F">
      <w:pPr>
        <w:widowControl w:val="0"/>
        <w:overflowPunct w:val="0"/>
        <w:autoSpaceDE w:val="0"/>
        <w:autoSpaceDN w:val="0"/>
        <w:adjustRightInd w:val="0"/>
        <w:rPr>
          <w:rFonts w:ascii="Arial" w:hAnsi="Arial" w:cs="Arial"/>
          <w:sz w:val="20"/>
          <w:szCs w:val="20"/>
        </w:rPr>
      </w:pPr>
    </w:p>
    <w:p w14:paraId="36305738" w14:textId="77777777" w:rsidR="00E71F1F" w:rsidRPr="00BA69CA" w:rsidRDefault="00E71F1F" w:rsidP="00E71F1F">
      <w:pPr>
        <w:widowControl w:val="0"/>
        <w:overflowPunct w:val="0"/>
        <w:autoSpaceDE w:val="0"/>
        <w:autoSpaceDN w:val="0"/>
        <w:adjustRightInd w:val="0"/>
        <w:rPr>
          <w:rFonts w:ascii="Arial" w:hAnsi="Arial" w:cs="Arial"/>
          <w:sz w:val="20"/>
          <w:szCs w:val="20"/>
        </w:rPr>
        <w:sectPr w:rsidR="00E71F1F" w:rsidRPr="00BA69CA" w:rsidSect="000E55D5">
          <w:type w:val="continuous"/>
          <w:pgSz w:w="12240" w:h="15840" w:code="1"/>
          <w:pgMar w:top="1420" w:right="1440" w:bottom="778" w:left="1440" w:header="720" w:footer="720" w:gutter="0"/>
          <w:cols w:space="720" w:equalWidth="0">
            <w:col w:w="9360"/>
          </w:cols>
          <w:noEndnote/>
        </w:sectPr>
      </w:pPr>
    </w:p>
    <w:p w14:paraId="778EC1E1" w14:textId="77777777" w:rsidR="00E71F1F" w:rsidRPr="00BA69CA" w:rsidRDefault="00E71F1F" w:rsidP="00E71F1F">
      <w:pPr>
        <w:widowControl w:val="0"/>
        <w:autoSpaceDE w:val="0"/>
        <w:autoSpaceDN w:val="0"/>
        <w:adjustRightInd w:val="0"/>
        <w:spacing w:line="186" w:lineRule="exact"/>
        <w:rPr>
          <w:rFonts w:ascii="Times New Roman" w:hAnsi="Times New Roman"/>
          <w:szCs w:val="24"/>
        </w:rPr>
      </w:pPr>
    </w:p>
    <w:p w14:paraId="3AB0D0F8" w14:textId="212D3EB3" w:rsidR="00E71F1F" w:rsidRPr="00403ADD" w:rsidRDefault="00F5059D" w:rsidP="00557C27">
      <w:pPr>
        <w:rPr>
          <w:rFonts w:cs="Arial"/>
          <w:sz w:val="28"/>
          <w:szCs w:val="28"/>
          <w:u w:val="single"/>
        </w:rPr>
      </w:pPr>
      <w:r w:rsidRPr="00403ADD">
        <w:rPr>
          <w:rFonts w:cs="Arial"/>
          <w:sz w:val="28"/>
          <w:szCs w:val="28"/>
          <w:u w:val="single"/>
        </w:rPr>
        <w:lastRenderedPageBreak/>
        <w:t xml:space="preserve">Item 5 - </w:t>
      </w:r>
      <w:r w:rsidR="00E71F1F" w:rsidRPr="00403ADD">
        <w:rPr>
          <w:rFonts w:cs="Arial"/>
          <w:sz w:val="28"/>
          <w:szCs w:val="28"/>
          <w:u w:val="single"/>
        </w:rPr>
        <w:t>Additional Compensation</w:t>
      </w:r>
    </w:p>
    <w:p w14:paraId="0A6E1455" w14:textId="77777777" w:rsidR="00403ADD" w:rsidRDefault="00403ADD" w:rsidP="00A76E9F"/>
    <w:p w14:paraId="1C78E543" w14:textId="396596D4" w:rsidR="00C828BE" w:rsidRDefault="00C828BE" w:rsidP="00C828BE">
      <w:r>
        <w:t>Susan Gabor does not receive economic benefits from anyone who is not a client for providing investment advisory services to clients of Financial Planning Hawaii.</w:t>
      </w:r>
    </w:p>
    <w:p w14:paraId="20747876" w14:textId="77777777" w:rsidR="00557C27" w:rsidRPr="00BA69CA" w:rsidRDefault="00557C27" w:rsidP="00E71F1F">
      <w:pPr>
        <w:widowControl w:val="0"/>
        <w:overflowPunct w:val="0"/>
        <w:autoSpaceDE w:val="0"/>
        <w:autoSpaceDN w:val="0"/>
        <w:adjustRightInd w:val="0"/>
        <w:spacing w:line="257" w:lineRule="auto"/>
        <w:ind w:right="100"/>
        <w:rPr>
          <w:rFonts w:ascii="Times New Roman" w:hAnsi="Times New Roman"/>
          <w:szCs w:val="24"/>
        </w:rPr>
      </w:pPr>
    </w:p>
    <w:p w14:paraId="1E60E558" w14:textId="77777777" w:rsidR="00E71F1F" w:rsidRPr="00BA69CA" w:rsidRDefault="00E71F1F" w:rsidP="00E71F1F">
      <w:pPr>
        <w:widowControl w:val="0"/>
        <w:autoSpaceDE w:val="0"/>
        <w:autoSpaceDN w:val="0"/>
        <w:adjustRightInd w:val="0"/>
        <w:spacing w:line="176" w:lineRule="exact"/>
        <w:rPr>
          <w:rFonts w:ascii="Times New Roman" w:hAnsi="Times New Roman"/>
          <w:szCs w:val="24"/>
        </w:rPr>
      </w:pPr>
    </w:p>
    <w:p w14:paraId="064B284E" w14:textId="09576D61" w:rsidR="00E71F1F" w:rsidRPr="00403ADD" w:rsidRDefault="00F5059D" w:rsidP="00557C27">
      <w:pPr>
        <w:rPr>
          <w:rFonts w:cs="Arial"/>
          <w:sz w:val="28"/>
          <w:szCs w:val="28"/>
          <w:u w:val="single"/>
        </w:rPr>
      </w:pPr>
      <w:r w:rsidRPr="00403ADD">
        <w:rPr>
          <w:rFonts w:cs="Arial"/>
          <w:sz w:val="28"/>
          <w:szCs w:val="28"/>
          <w:u w:val="single"/>
        </w:rPr>
        <w:t xml:space="preserve">Item 6 - </w:t>
      </w:r>
      <w:r w:rsidR="00E71F1F" w:rsidRPr="00403ADD">
        <w:rPr>
          <w:rFonts w:cs="Arial"/>
          <w:sz w:val="28"/>
          <w:szCs w:val="28"/>
          <w:u w:val="single"/>
        </w:rPr>
        <w:t>Supervision</w:t>
      </w:r>
    </w:p>
    <w:p w14:paraId="1ACAFD00" w14:textId="77777777" w:rsidR="00403ADD" w:rsidRDefault="00403ADD" w:rsidP="00A76E9F"/>
    <w:p w14:paraId="56D16168" w14:textId="3C0EB1E2" w:rsidR="00E71F1F" w:rsidRPr="00BA69CA" w:rsidRDefault="00E71F1F" w:rsidP="00A76E9F">
      <w:pPr>
        <w:rPr>
          <w:rFonts w:ascii="Times New Roman" w:hAnsi="Times New Roman"/>
          <w:szCs w:val="24"/>
        </w:rPr>
      </w:pPr>
      <w:r w:rsidRPr="00BA69CA">
        <w:t xml:space="preserve">John H. Robinson </w:t>
      </w:r>
      <w:r w:rsidR="00AC687E">
        <w:t xml:space="preserve">supervises the investment advisory activities </w:t>
      </w:r>
      <w:r w:rsidR="00D549B8">
        <w:t>of the firm.</w:t>
      </w:r>
      <w:r w:rsidRPr="00BA69CA">
        <w:t xml:space="preserve"> Mr. Robinson’s contact information is (808) 564-0654. All supervision is performed on a regular basis where all financial planning activity is reviewed and approved by Mr. Robinson as well as a review of financial planning service and the issuance of financial plans.</w:t>
      </w:r>
    </w:p>
    <w:p w14:paraId="3992B78F" w14:textId="77777777" w:rsidR="00E71F1F" w:rsidRPr="00BA69CA" w:rsidRDefault="00E71F1F" w:rsidP="00E71F1F">
      <w:pPr>
        <w:widowControl w:val="0"/>
        <w:autoSpaceDE w:val="0"/>
        <w:autoSpaceDN w:val="0"/>
        <w:adjustRightInd w:val="0"/>
        <w:spacing w:line="213" w:lineRule="exact"/>
        <w:rPr>
          <w:rFonts w:ascii="Times New Roman" w:hAnsi="Times New Roman"/>
          <w:szCs w:val="24"/>
        </w:rPr>
      </w:pPr>
    </w:p>
    <w:p w14:paraId="4C98CE8D" w14:textId="558D0B1F" w:rsidR="00E71F1F" w:rsidRPr="00403ADD" w:rsidRDefault="00F5059D" w:rsidP="00557C27">
      <w:pPr>
        <w:rPr>
          <w:rFonts w:cs="Arial"/>
          <w:sz w:val="28"/>
          <w:szCs w:val="28"/>
          <w:u w:val="single"/>
        </w:rPr>
      </w:pPr>
      <w:r w:rsidRPr="00403ADD">
        <w:rPr>
          <w:rFonts w:cs="Arial"/>
          <w:sz w:val="28"/>
          <w:szCs w:val="28"/>
          <w:u w:val="single"/>
        </w:rPr>
        <w:t xml:space="preserve">Item 7 - </w:t>
      </w:r>
      <w:r w:rsidR="00E71F1F" w:rsidRPr="00403ADD">
        <w:rPr>
          <w:rFonts w:cs="Arial"/>
          <w:sz w:val="28"/>
          <w:szCs w:val="28"/>
          <w:u w:val="single"/>
        </w:rPr>
        <w:t>Requirements for State-Registered Advisers</w:t>
      </w:r>
    </w:p>
    <w:p w14:paraId="7D8882AF" w14:textId="77777777" w:rsidR="00403ADD" w:rsidRDefault="00403ADD" w:rsidP="00A76E9F"/>
    <w:p w14:paraId="29799050" w14:textId="41CA8619" w:rsidR="007D7242" w:rsidRDefault="00E71F1F" w:rsidP="00A76E9F">
      <w:r w:rsidRPr="00113DC9">
        <w:t xml:space="preserve">None of the </w:t>
      </w:r>
      <w:r w:rsidR="002D5F74">
        <w:t>Supervised Person</w:t>
      </w:r>
      <w:r w:rsidRPr="00113DC9">
        <w:t xml:space="preserve">s listed above as part of this Brochure Supplement have been involved in any disclosure event where they were found liable in an arbitration claim alleging damages </w:t>
      </w:r>
      <w:r w:rsidR="00E507B7" w:rsidRPr="00113DC9">
        <w:t>more than</w:t>
      </w:r>
      <w:r w:rsidRPr="00113DC9">
        <w:t xml:space="preserve"> $2,500, or found liable in a civil, self-regulatory organization, or administrative proceeding; or have been the subject of a bankruptcy petition.</w:t>
      </w:r>
    </w:p>
    <w:p w14:paraId="1187420E" w14:textId="77777777" w:rsidR="007D7242" w:rsidRDefault="007D7242">
      <w:r>
        <w:br w:type="page"/>
      </w:r>
    </w:p>
    <w:p w14:paraId="3B14CCCC" w14:textId="77777777" w:rsidR="00563B48" w:rsidRDefault="00563B48" w:rsidP="00563B48">
      <w:pPr>
        <w:widowControl w:val="0"/>
        <w:autoSpaceDE w:val="0"/>
        <w:autoSpaceDN w:val="0"/>
        <w:adjustRightInd w:val="0"/>
        <w:rPr>
          <w:rFonts w:cs="Arial"/>
          <w:sz w:val="40"/>
          <w:szCs w:val="40"/>
        </w:rPr>
      </w:pPr>
    </w:p>
    <w:p w14:paraId="5C36D90E" w14:textId="77777777" w:rsidR="00563B48" w:rsidRDefault="00563B48" w:rsidP="00563B48">
      <w:pPr>
        <w:widowControl w:val="0"/>
        <w:autoSpaceDE w:val="0"/>
        <w:autoSpaceDN w:val="0"/>
        <w:adjustRightInd w:val="0"/>
        <w:rPr>
          <w:rFonts w:cs="Arial"/>
          <w:sz w:val="40"/>
          <w:szCs w:val="40"/>
        </w:rPr>
      </w:pPr>
    </w:p>
    <w:p w14:paraId="4B5F545D" w14:textId="28017D76" w:rsidR="00563B48" w:rsidRPr="00563B48" w:rsidRDefault="00563B48" w:rsidP="00563B48">
      <w:pPr>
        <w:widowControl w:val="0"/>
        <w:autoSpaceDE w:val="0"/>
        <w:autoSpaceDN w:val="0"/>
        <w:adjustRightInd w:val="0"/>
        <w:rPr>
          <w:sz w:val="40"/>
          <w:szCs w:val="40"/>
        </w:rPr>
      </w:pPr>
      <w:r w:rsidRPr="00563B48">
        <w:rPr>
          <w:rFonts w:cs="Arial"/>
          <w:sz w:val="40"/>
          <w:szCs w:val="40"/>
        </w:rPr>
        <w:t>Part 2B of Form ADV</w:t>
      </w:r>
    </w:p>
    <w:p w14:paraId="23344A68" w14:textId="4551F58D" w:rsidR="00563B48" w:rsidRPr="00563B48" w:rsidRDefault="00563B48" w:rsidP="00563B48">
      <w:pPr>
        <w:keepNext/>
        <w:keepLines/>
        <w:spacing w:before="240"/>
        <w:outlineLvl w:val="0"/>
        <w:rPr>
          <w:rFonts w:ascii="Times New Roman" w:eastAsiaTheme="majorEastAsia" w:hAnsi="Times New Roman" w:cstheme="majorBidi"/>
          <w:color w:val="365F91" w:themeColor="accent1" w:themeShade="BF"/>
          <w:sz w:val="32"/>
          <w:szCs w:val="32"/>
        </w:rPr>
      </w:pPr>
      <w:bookmarkStart w:id="31" w:name="_Toc208132685"/>
      <w:r w:rsidRPr="00563B48">
        <w:rPr>
          <w:rFonts w:asciiTheme="majorHAnsi" w:eastAsiaTheme="majorEastAsia" w:hAnsiTheme="majorHAnsi" w:cstheme="majorBidi"/>
          <w:color w:val="365F91" w:themeColor="accent1" w:themeShade="BF"/>
          <w:sz w:val="32"/>
          <w:szCs w:val="32"/>
        </w:rPr>
        <w:t xml:space="preserve">Brochure Supplement: </w:t>
      </w:r>
      <w:proofErr w:type="spellStart"/>
      <w:r>
        <w:rPr>
          <w:rFonts w:asciiTheme="majorHAnsi" w:eastAsiaTheme="majorEastAsia" w:hAnsiTheme="majorHAnsi" w:cstheme="majorBidi"/>
          <w:color w:val="365F91" w:themeColor="accent1" w:themeShade="BF"/>
          <w:sz w:val="32"/>
          <w:szCs w:val="32"/>
        </w:rPr>
        <w:t>Itaat</w:t>
      </w:r>
      <w:proofErr w:type="spellEnd"/>
      <w:r>
        <w:rPr>
          <w:rFonts w:asciiTheme="majorHAnsi" w:eastAsiaTheme="majorEastAsia" w:hAnsiTheme="majorHAnsi" w:cstheme="majorBidi"/>
          <w:color w:val="365F91" w:themeColor="accent1" w:themeShade="BF"/>
          <w:sz w:val="32"/>
          <w:szCs w:val="32"/>
        </w:rPr>
        <w:t xml:space="preserve"> Husain</w:t>
      </w:r>
      <w:bookmarkEnd w:id="31"/>
    </w:p>
    <w:p w14:paraId="28172A5C" w14:textId="77777777" w:rsidR="00563B48" w:rsidRPr="00563B48" w:rsidRDefault="00563B48" w:rsidP="00563B48">
      <w:pPr>
        <w:widowControl w:val="0"/>
        <w:autoSpaceDE w:val="0"/>
        <w:autoSpaceDN w:val="0"/>
        <w:adjustRightInd w:val="0"/>
        <w:rPr>
          <w:rFonts w:ascii="Times New Roman" w:hAnsi="Times New Roman"/>
          <w:szCs w:val="24"/>
        </w:rPr>
      </w:pPr>
    </w:p>
    <w:p w14:paraId="1BC0D634" w14:textId="77777777" w:rsidR="00563B48" w:rsidRPr="00563B48" w:rsidRDefault="00563B48" w:rsidP="00563B48">
      <w:pPr>
        <w:widowControl w:val="0"/>
        <w:autoSpaceDE w:val="0"/>
        <w:autoSpaceDN w:val="0"/>
        <w:adjustRightInd w:val="0"/>
        <w:spacing w:line="382" w:lineRule="exact"/>
        <w:rPr>
          <w:rFonts w:ascii="Times New Roman" w:hAnsi="Times New Roman"/>
          <w:szCs w:val="24"/>
        </w:rPr>
      </w:pPr>
    </w:p>
    <w:p w14:paraId="4FE64701" w14:textId="11962AAB" w:rsidR="00563B48" w:rsidRPr="00563B48" w:rsidRDefault="00134E0F" w:rsidP="00563B48">
      <w:pPr>
        <w:widowControl w:val="0"/>
        <w:autoSpaceDE w:val="0"/>
        <w:autoSpaceDN w:val="0"/>
        <w:adjustRightInd w:val="0"/>
        <w:rPr>
          <w:szCs w:val="24"/>
        </w:rPr>
      </w:pPr>
      <w:r>
        <w:rPr>
          <w:rFonts w:cs="Arial"/>
          <w:sz w:val="32"/>
          <w:szCs w:val="32"/>
        </w:rPr>
        <w:t>September 1</w:t>
      </w:r>
      <w:r w:rsidR="00563B48" w:rsidRPr="00563B48">
        <w:rPr>
          <w:rFonts w:cs="Arial"/>
          <w:sz w:val="32"/>
          <w:szCs w:val="32"/>
        </w:rPr>
        <w:t>, 2025</w:t>
      </w:r>
    </w:p>
    <w:p w14:paraId="503EE175"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175C1528"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42A4563B"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358CDFD7"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7873FCBD"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14B3E35C" w14:textId="77777777" w:rsidR="00563B48" w:rsidRPr="00563B48" w:rsidRDefault="00563B48" w:rsidP="00563B48">
      <w:pPr>
        <w:widowControl w:val="0"/>
        <w:autoSpaceDE w:val="0"/>
        <w:autoSpaceDN w:val="0"/>
        <w:adjustRightInd w:val="0"/>
        <w:spacing w:line="246" w:lineRule="exact"/>
        <w:rPr>
          <w:rFonts w:ascii="Times New Roman" w:hAnsi="Times New Roman"/>
          <w:szCs w:val="24"/>
        </w:rPr>
      </w:pPr>
    </w:p>
    <w:p w14:paraId="54260E45"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52FE62B4" w14:textId="77777777" w:rsidR="00563B48" w:rsidRPr="00563B48" w:rsidRDefault="00563B48" w:rsidP="00563B48">
      <w:pPr>
        <w:widowControl w:val="0"/>
        <w:autoSpaceDE w:val="0"/>
        <w:autoSpaceDN w:val="0"/>
        <w:adjustRightInd w:val="0"/>
        <w:spacing w:line="351" w:lineRule="exact"/>
        <w:rPr>
          <w:rFonts w:ascii="Times New Roman" w:hAnsi="Times New Roman"/>
          <w:szCs w:val="24"/>
        </w:rPr>
      </w:pPr>
    </w:p>
    <w:p w14:paraId="041D73FA" w14:textId="77777777" w:rsidR="00563B48" w:rsidRPr="00563B48" w:rsidRDefault="00563B48" w:rsidP="00563B48">
      <w:pPr>
        <w:widowControl w:val="0"/>
        <w:autoSpaceDE w:val="0"/>
        <w:autoSpaceDN w:val="0"/>
        <w:adjustRightInd w:val="0"/>
        <w:rPr>
          <w:rFonts w:ascii="Arial" w:hAnsi="Arial" w:cs="Arial"/>
          <w:szCs w:val="24"/>
        </w:rPr>
      </w:pPr>
    </w:p>
    <w:p w14:paraId="78F6F677" w14:textId="77777777" w:rsidR="00563B48" w:rsidRPr="00563B48" w:rsidRDefault="00563B48" w:rsidP="00563B48">
      <w:pPr>
        <w:widowControl w:val="0"/>
        <w:autoSpaceDE w:val="0"/>
        <w:autoSpaceDN w:val="0"/>
        <w:adjustRightInd w:val="0"/>
        <w:rPr>
          <w:szCs w:val="24"/>
        </w:rPr>
      </w:pPr>
      <w:r w:rsidRPr="00563B48">
        <w:rPr>
          <w:rFonts w:cs="Arial"/>
          <w:szCs w:val="24"/>
        </w:rPr>
        <w:t>Financial Planning Hawaii, Inc.</w:t>
      </w:r>
    </w:p>
    <w:p w14:paraId="355A195C" w14:textId="77777777" w:rsidR="00563B48" w:rsidRPr="00563B48" w:rsidRDefault="00563B48" w:rsidP="00563B48">
      <w:pPr>
        <w:widowControl w:val="0"/>
        <w:autoSpaceDE w:val="0"/>
        <w:autoSpaceDN w:val="0"/>
        <w:adjustRightInd w:val="0"/>
        <w:rPr>
          <w:rFonts w:cs="Arial"/>
          <w:szCs w:val="24"/>
        </w:rPr>
      </w:pPr>
      <w:r w:rsidRPr="00563B48">
        <w:rPr>
          <w:rFonts w:cs="Arial"/>
          <w:szCs w:val="24"/>
        </w:rPr>
        <w:t>677 Ala Moana Blvd.</w:t>
      </w:r>
    </w:p>
    <w:p w14:paraId="5C8BA813" w14:textId="77777777" w:rsidR="00563B48" w:rsidRPr="00563B48" w:rsidRDefault="00563B48" w:rsidP="00563B48">
      <w:pPr>
        <w:widowControl w:val="0"/>
        <w:autoSpaceDE w:val="0"/>
        <w:autoSpaceDN w:val="0"/>
        <w:adjustRightInd w:val="0"/>
        <w:rPr>
          <w:szCs w:val="24"/>
        </w:rPr>
      </w:pPr>
      <w:r w:rsidRPr="00563B48">
        <w:rPr>
          <w:rFonts w:cs="Arial"/>
          <w:szCs w:val="24"/>
        </w:rPr>
        <w:t>Suite 605</w:t>
      </w:r>
    </w:p>
    <w:p w14:paraId="74BBCFF1" w14:textId="77777777" w:rsidR="00563B48" w:rsidRPr="00563B48" w:rsidRDefault="00563B48" w:rsidP="00563B48">
      <w:pPr>
        <w:widowControl w:val="0"/>
        <w:autoSpaceDE w:val="0"/>
        <w:autoSpaceDN w:val="0"/>
        <w:adjustRightInd w:val="0"/>
        <w:rPr>
          <w:szCs w:val="24"/>
        </w:rPr>
      </w:pPr>
      <w:r w:rsidRPr="00563B48">
        <w:rPr>
          <w:rFonts w:cs="Arial"/>
          <w:szCs w:val="24"/>
        </w:rPr>
        <w:t>Honolulu, HI 96813</w:t>
      </w:r>
    </w:p>
    <w:p w14:paraId="64255818" w14:textId="77777777" w:rsidR="00563B48" w:rsidRPr="00563B48" w:rsidRDefault="00563B48" w:rsidP="00563B48">
      <w:pPr>
        <w:widowControl w:val="0"/>
        <w:autoSpaceDE w:val="0"/>
        <w:autoSpaceDN w:val="0"/>
        <w:adjustRightInd w:val="0"/>
        <w:rPr>
          <w:szCs w:val="24"/>
        </w:rPr>
      </w:pPr>
      <w:r w:rsidRPr="00563B48">
        <w:rPr>
          <w:rFonts w:cs="Arial"/>
          <w:szCs w:val="24"/>
        </w:rPr>
        <w:t>Office (808)564-0654</w:t>
      </w:r>
    </w:p>
    <w:p w14:paraId="07B18131" w14:textId="77777777" w:rsidR="00563B48" w:rsidRPr="00563B48" w:rsidRDefault="00563B48" w:rsidP="00563B48">
      <w:pPr>
        <w:widowControl w:val="0"/>
        <w:autoSpaceDE w:val="0"/>
        <w:autoSpaceDN w:val="0"/>
        <w:adjustRightInd w:val="0"/>
        <w:rPr>
          <w:szCs w:val="24"/>
        </w:rPr>
      </w:pPr>
      <w:r w:rsidRPr="00563B48">
        <w:rPr>
          <w:rFonts w:cs="Arial"/>
          <w:szCs w:val="24"/>
        </w:rPr>
        <w:t>Fax (808) 466-4052</w:t>
      </w:r>
    </w:p>
    <w:p w14:paraId="3FB5DA91" w14:textId="77777777" w:rsidR="00563B48" w:rsidRPr="00563B48" w:rsidRDefault="00563B48" w:rsidP="00563B48">
      <w:pPr>
        <w:widowControl w:val="0"/>
        <w:autoSpaceDE w:val="0"/>
        <w:autoSpaceDN w:val="0"/>
        <w:adjustRightInd w:val="0"/>
        <w:rPr>
          <w:szCs w:val="24"/>
        </w:rPr>
      </w:pPr>
      <w:r w:rsidRPr="00563B48">
        <w:rPr>
          <w:rFonts w:cs="Arial"/>
          <w:color w:val="0000FF"/>
          <w:szCs w:val="24"/>
          <w:u w:val="single"/>
        </w:rPr>
        <w:t>www.feeonlyplanninghawaii.com</w:t>
      </w:r>
    </w:p>
    <w:p w14:paraId="3E8EB522"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03C7A5A2"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1D29E7E2"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6BB18D22"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15804EDC"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765E0AFC" w14:textId="77777777" w:rsidR="00563B48" w:rsidRPr="00563B48" w:rsidRDefault="00563B48" w:rsidP="00563B48">
      <w:pPr>
        <w:widowControl w:val="0"/>
        <w:autoSpaceDE w:val="0"/>
        <w:autoSpaceDN w:val="0"/>
        <w:adjustRightInd w:val="0"/>
        <w:spacing w:line="200" w:lineRule="exact"/>
        <w:rPr>
          <w:rFonts w:ascii="Times New Roman" w:hAnsi="Times New Roman"/>
          <w:szCs w:val="24"/>
        </w:rPr>
      </w:pPr>
    </w:p>
    <w:p w14:paraId="10D8672D" w14:textId="77777777" w:rsidR="00563B48" w:rsidRPr="00563B48" w:rsidRDefault="00563B48" w:rsidP="00563B48">
      <w:pPr>
        <w:widowControl w:val="0"/>
        <w:autoSpaceDE w:val="0"/>
        <w:autoSpaceDN w:val="0"/>
        <w:adjustRightInd w:val="0"/>
        <w:spacing w:line="370" w:lineRule="exact"/>
        <w:rPr>
          <w:rFonts w:ascii="Times New Roman" w:hAnsi="Times New Roman"/>
          <w:szCs w:val="24"/>
        </w:rPr>
      </w:pPr>
    </w:p>
    <w:p w14:paraId="58FAE61D" w14:textId="77777777" w:rsidR="00563B48" w:rsidRPr="00563B48" w:rsidRDefault="00563B48" w:rsidP="00563B48">
      <w:pPr>
        <w:widowControl w:val="0"/>
        <w:overflowPunct w:val="0"/>
        <w:autoSpaceDE w:val="0"/>
        <w:autoSpaceDN w:val="0"/>
        <w:adjustRightInd w:val="0"/>
        <w:spacing w:line="253" w:lineRule="auto"/>
        <w:ind w:right="80"/>
        <w:rPr>
          <w:rFonts w:ascii="Arial" w:hAnsi="Arial" w:cs="Arial"/>
          <w:i/>
          <w:iCs/>
          <w:sz w:val="20"/>
          <w:szCs w:val="20"/>
        </w:rPr>
      </w:pPr>
    </w:p>
    <w:p w14:paraId="2C5ACC4A" w14:textId="77777777" w:rsidR="00563B48" w:rsidRPr="00563B48" w:rsidRDefault="00563B48" w:rsidP="00563B48">
      <w:pPr>
        <w:widowControl w:val="0"/>
        <w:overflowPunct w:val="0"/>
        <w:autoSpaceDE w:val="0"/>
        <w:autoSpaceDN w:val="0"/>
        <w:adjustRightInd w:val="0"/>
        <w:spacing w:line="253" w:lineRule="auto"/>
        <w:ind w:right="80"/>
        <w:rPr>
          <w:rFonts w:ascii="Arial" w:hAnsi="Arial" w:cs="Arial"/>
          <w:i/>
          <w:iCs/>
          <w:sz w:val="20"/>
          <w:szCs w:val="20"/>
        </w:rPr>
      </w:pPr>
    </w:p>
    <w:p w14:paraId="325BFFFC" w14:textId="77777777" w:rsidR="00563B48" w:rsidRPr="00563B48" w:rsidRDefault="00563B48" w:rsidP="00563B48">
      <w:pPr>
        <w:widowControl w:val="0"/>
        <w:overflowPunct w:val="0"/>
        <w:autoSpaceDE w:val="0"/>
        <w:autoSpaceDN w:val="0"/>
        <w:adjustRightInd w:val="0"/>
        <w:spacing w:line="253" w:lineRule="auto"/>
        <w:ind w:right="80"/>
        <w:rPr>
          <w:rFonts w:ascii="Arial" w:hAnsi="Arial" w:cs="Arial"/>
          <w:i/>
          <w:iCs/>
          <w:sz w:val="20"/>
          <w:szCs w:val="20"/>
        </w:rPr>
      </w:pPr>
    </w:p>
    <w:p w14:paraId="0E783CDE" w14:textId="77777777" w:rsidR="00563B48" w:rsidRPr="00563B48" w:rsidRDefault="00563B48" w:rsidP="00563B48">
      <w:pPr>
        <w:widowControl w:val="0"/>
        <w:overflowPunct w:val="0"/>
        <w:autoSpaceDE w:val="0"/>
        <w:autoSpaceDN w:val="0"/>
        <w:adjustRightInd w:val="0"/>
        <w:spacing w:line="253" w:lineRule="auto"/>
        <w:ind w:right="80"/>
        <w:rPr>
          <w:rFonts w:ascii="Arial" w:hAnsi="Arial" w:cs="Arial"/>
          <w:i/>
          <w:iCs/>
          <w:sz w:val="20"/>
          <w:szCs w:val="20"/>
        </w:rPr>
      </w:pPr>
    </w:p>
    <w:p w14:paraId="35C3CDB7" w14:textId="77777777" w:rsidR="00563B48" w:rsidRPr="00563B48" w:rsidRDefault="00563B48" w:rsidP="00563B48">
      <w:pPr>
        <w:widowControl w:val="0"/>
        <w:overflowPunct w:val="0"/>
        <w:autoSpaceDE w:val="0"/>
        <w:autoSpaceDN w:val="0"/>
        <w:adjustRightInd w:val="0"/>
        <w:spacing w:line="253" w:lineRule="auto"/>
        <w:ind w:right="80"/>
        <w:rPr>
          <w:rFonts w:ascii="Arial" w:hAnsi="Arial" w:cs="Arial"/>
          <w:i/>
          <w:iCs/>
          <w:sz w:val="20"/>
          <w:szCs w:val="20"/>
        </w:rPr>
      </w:pPr>
    </w:p>
    <w:p w14:paraId="33B7C0BF" w14:textId="77777777" w:rsidR="00563B48" w:rsidRPr="00563B48" w:rsidRDefault="00563B48" w:rsidP="00563B48">
      <w:pPr>
        <w:widowControl w:val="0"/>
        <w:overflowPunct w:val="0"/>
        <w:autoSpaceDE w:val="0"/>
        <w:autoSpaceDN w:val="0"/>
        <w:adjustRightInd w:val="0"/>
        <w:spacing w:line="253" w:lineRule="auto"/>
        <w:ind w:right="80"/>
        <w:rPr>
          <w:rFonts w:ascii="Arial" w:hAnsi="Arial" w:cs="Arial"/>
          <w:i/>
          <w:iCs/>
          <w:sz w:val="20"/>
          <w:szCs w:val="20"/>
        </w:rPr>
      </w:pPr>
    </w:p>
    <w:p w14:paraId="2B6A1C01" w14:textId="77777777" w:rsidR="00563B48" w:rsidRPr="00563B48" w:rsidRDefault="00563B48" w:rsidP="00563B48">
      <w:pPr>
        <w:widowControl w:val="0"/>
        <w:overflowPunct w:val="0"/>
        <w:autoSpaceDE w:val="0"/>
        <w:autoSpaceDN w:val="0"/>
        <w:adjustRightInd w:val="0"/>
        <w:spacing w:line="253" w:lineRule="auto"/>
        <w:ind w:right="80"/>
        <w:rPr>
          <w:rFonts w:cs="Arial"/>
          <w:szCs w:val="24"/>
        </w:rPr>
      </w:pPr>
    </w:p>
    <w:p w14:paraId="73F7DEF5" w14:textId="77777777" w:rsidR="00563B48" w:rsidRDefault="00563B48" w:rsidP="00563B48">
      <w:pPr>
        <w:widowControl w:val="0"/>
        <w:overflowPunct w:val="0"/>
        <w:autoSpaceDE w:val="0"/>
        <w:autoSpaceDN w:val="0"/>
        <w:adjustRightInd w:val="0"/>
        <w:spacing w:line="253" w:lineRule="auto"/>
        <w:ind w:right="80"/>
        <w:rPr>
          <w:rFonts w:cs="Arial"/>
          <w:szCs w:val="24"/>
        </w:rPr>
      </w:pPr>
    </w:p>
    <w:p w14:paraId="20C12A2E" w14:textId="3F31C8F9" w:rsidR="00563B48" w:rsidRPr="00563B48" w:rsidRDefault="00563B48" w:rsidP="00563B48">
      <w:pPr>
        <w:widowControl w:val="0"/>
        <w:overflowPunct w:val="0"/>
        <w:autoSpaceDE w:val="0"/>
        <w:autoSpaceDN w:val="0"/>
        <w:adjustRightInd w:val="0"/>
        <w:spacing w:line="253" w:lineRule="auto"/>
        <w:ind w:right="80"/>
        <w:rPr>
          <w:szCs w:val="24"/>
        </w:rPr>
      </w:pPr>
      <w:r w:rsidRPr="00563B48">
        <w:rPr>
          <w:rFonts w:cs="Arial"/>
          <w:szCs w:val="24"/>
        </w:rPr>
        <w:t xml:space="preserve">This </w:t>
      </w:r>
      <w:proofErr w:type="gramStart"/>
      <w:r w:rsidRPr="00563B48">
        <w:rPr>
          <w:rFonts w:cs="Arial"/>
          <w:szCs w:val="24"/>
        </w:rPr>
        <w:t>brochure supplement</w:t>
      </w:r>
      <w:proofErr w:type="gramEnd"/>
      <w:r w:rsidRPr="00563B48">
        <w:rPr>
          <w:rFonts w:cs="Arial"/>
          <w:szCs w:val="24"/>
        </w:rPr>
        <w:t xml:space="preserve"> provides information about the Supervised Person listed above that supplements FPH’s brochure. You should have received a copy of that brochure. Please contact John Robinson at (808) 564-0654 and/or via email at </w:t>
      </w:r>
      <w:r w:rsidRPr="00563B48">
        <w:rPr>
          <w:rFonts w:cs="Arial"/>
          <w:color w:val="0000FF"/>
          <w:szCs w:val="24"/>
          <w:u w:val="single"/>
        </w:rPr>
        <w:t>jr@fphawaii.com</w:t>
      </w:r>
      <w:r w:rsidRPr="00563B48">
        <w:rPr>
          <w:rFonts w:cs="Arial"/>
          <w:szCs w:val="24"/>
        </w:rPr>
        <w:t xml:space="preserve"> if you did not receive FPH’s brochure or if you have any questions about the contents of this supplement.</w:t>
      </w:r>
    </w:p>
    <w:p w14:paraId="2D7BFC0E" w14:textId="77777777" w:rsidR="00563B48" w:rsidRPr="00563B48" w:rsidRDefault="00563B48" w:rsidP="00563B48">
      <w:pPr>
        <w:widowControl w:val="0"/>
        <w:autoSpaceDE w:val="0"/>
        <w:autoSpaceDN w:val="0"/>
        <w:adjustRightInd w:val="0"/>
        <w:spacing w:line="185" w:lineRule="exact"/>
        <w:rPr>
          <w:szCs w:val="24"/>
        </w:rPr>
      </w:pPr>
    </w:p>
    <w:p w14:paraId="08817AA8" w14:textId="77777777" w:rsidR="00563B48" w:rsidRPr="00563B48" w:rsidRDefault="00563B48" w:rsidP="00563B48">
      <w:pPr>
        <w:widowControl w:val="0"/>
        <w:overflowPunct w:val="0"/>
        <w:autoSpaceDE w:val="0"/>
        <w:autoSpaceDN w:val="0"/>
        <w:adjustRightInd w:val="0"/>
        <w:spacing w:line="275" w:lineRule="auto"/>
        <w:ind w:right="380"/>
        <w:rPr>
          <w:rFonts w:cs="Arial"/>
          <w:szCs w:val="24"/>
        </w:rPr>
      </w:pPr>
      <w:r w:rsidRPr="00563B48">
        <w:rPr>
          <w:rFonts w:cs="Arial"/>
          <w:szCs w:val="24"/>
        </w:rPr>
        <w:t xml:space="preserve">Additional information about Susan Gabor is also available on the SEC’s website at </w:t>
      </w:r>
      <w:hyperlink r:id="rId11" w:history="1">
        <w:r w:rsidRPr="00563B48">
          <w:rPr>
            <w:rFonts w:cs="Arial"/>
            <w:color w:val="0000FF" w:themeColor="hyperlink"/>
            <w:szCs w:val="24"/>
            <w:u w:val="single"/>
          </w:rPr>
          <w:t>www.adviserinfo.sec.gov</w:t>
        </w:r>
      </w:hyperlink>
      <w:r w:rsidRPr="00563B48">
        <w:rPr>
          <w:rFonts w:cs="Arial"/>
          <w:szCs w:val="24"/>
        </w:rPr>
        <w:t>. The CRD number for Susan Gabor is 4120190.</w:t>
      </w:r>
    </w:p>
    <w:p w14:paraId="6A4B4324" w14:textId="77777777" w:rsidR="00563B48" w:rsidRPr="00563B48" w:rsidRDefault="00563B48" w:rsidP="00563B48">
      <w:pPr>
        <w:widowControl w:val="0"/>
        <w:overflowPunct w:val="0"/>
        <w:autoSpaceDE w:val="0"/>
        <w:autoSpaceDN w:val="0"/>
        <w:adjustRightInd w:val="0"/>
        <w:spacing w:line="275" w:lineRule="auto"/>
        <w:ind w:right="380"/>
        <w:rPr>
          <w:rFonts w:ascii="Times New Roman" w:hAnsi="Times New Roman"/>
          <w:szCs w:val="24"/>
        </w:rPr>
      </w:pPr>
    </w:p>
    <w:p w14:paraId="645B9A30" w14:textId="77777777" w:rsidR="00563B48" w:rsidRPr="00563B48" w:rsidRDefault="00563B48" w:rsidP="00563B48">
      <w:pPr>
        <w:widowControl w:val="0"/>
        <w:autoSpaceDE w:val="0"/>
        <w:autoSpaceDN w:val="0"/>
        <w:adjustRightInd w:val="0"/>
        <w:rPr>
          <w:rFonts w:ascii="Times New Roman" w:hAnsi="Times New Roman"/>
          <w:szCs w:val="24"/>
        </w:rPr>
        <w:sectPr w:rsidR="00563B48" w:rsidRPr="00563B48" w:rsidSect="00563B48">
          <w:type w:val="continuous"/>
          <w:pgSz w:w="12240" w:h="15840" w:code="1"/>
          <w:pgMar w:top="1440" w:right="1440" w:bottom="778" w:left="1440" w:header="720" w:footer="720" w:gutter="0"/>
          <w:cols w:space="720" w:equalWidth="0">
            <w:col w:w="9360"/>
          </w:cols>
          <w:noEndnote/>
        </w:sectPr>
      </w:pPr>
    </w:p>
    <w:p w14:paraId="293702AC" w14:textId="77777777" w:rsidR="00563B48" w:rsidRPr="00563B48" w:rsidRDefault="00563B48" w:rsidP="00563B48">
      <w:pPr>
        <w:widowControl w:val="0"/>
        <w:autoSpaceDE w:val="0"/>
        <w:autoSpaceDN w:val="0"/>
        <w:adjustRightInd w:val="0"/>
        <w:rPr>
          <w:rFonts w:ascii="Arial" w:hAnsi="Arial" w:cs="Arial"/>
          <w:b/>
          <w:bCs/>
          <w:szCs w:val="24"/>
        </w:rPr>
        <w:sectPr w:rsidR="00563B48" w:rsidRPr="00563B48" w:rsidSect="00563B48">
          <w:type w:val="continuous"/>
          <w:pgSz w:w="12240" w:h="15840" w:code="1"/>
          <w:pgMar w:top="1420" w:right="1440" w:bottom="778" w:left="1440" w:header="720" w:footer="720" w:gutter="0"/>
          <w:cols w:space="720" w:equalWidth="0">
            <w:col w:w="9360"/>
          </w:cols>
          <w:noEndnote/>
        </w:sectPr>
      </w:pPr>
    </w:p>
    <w:p w14:paraId="3E6E5527" w14:textId="77777777" w:rsidR="00563B48" w:rsidRPr="00563B48" w:rsidRDefault="00563B48" w:rsidP="00563B48">
      <w:pPr>
        <w:rPr>
          <w:rFonts w:cs="Arial"/>
          <w:sz w:val="28"/>
          <w:szCs w:val="28"/>
          <w:u w:val="single"/>
        </w:rPr>
      </w:pPr>
      <w:r w:rsidRPr="00563B48">
        <w:rPr>
          <w:rFonts w:cs="Arial"/>
          <w:sz w:val="28"/>
          <w:szCs w:val="28"/>
          <w:u w:val="single"/>
        </w:rPr>
        <w:lastRenderedPageBreak/>
        <w:t>Item 2 - Educational Background and Business Experience</w:t>
      </w:r>
    </w:p>
    <w:p w14:paraId="29C59CC0" w14:textId="77777777" w:rsidR="00563B48" w:rsidRPr="00563B48" w:rsidRDefault="00563B48" w:rsidP="00563B48">
      <w:pPr>
        <w:widowControl w:val="0"/>
        <w:autoSpaceDE w:val="0"/>
        <w:autoSpaceDN w:val="0"/>
        <w:adjustRightInd w:val="0"/>
        <w:spacing w:line="192" w:lineRule="exact"/>
        <w:rPr>
          <w:rFonts w:ascii="Times New Roman" w:hAnsi="Times New Roman"/>
          <w:szCs w:val="24"/>
        </w:rPr>
      </w:pPr>
    </w:p>
    <w:p w14:paraId="37BD393B" w14:textId="7760A6B5" w:rsidR="00563B48" w:rsidRPr="00563B48" w:rsidRDefault="00563B48" w:rsidP="00563B48">
      <w:pPr>
        <w:rPr>
          <w:rFonts w:ascii="Times New Roman" w:hAnsi="Times New Roman"/>
          <w:szCs w:val="24"/>
        </w:rPr>
      </w:pPr>
      <w:r w:rsidRPr="00563B48">
        <w:t>Year of Birth: 19</w:t>
      </w:r>
      <w:r w:rsidR="008A6837">
        <w:t>55</w:t>
      </w:r>
    </w:p>
    <w:p w14:paraId="714964FF" w14:textId="22859122" w:rsidR="00563B48" w:rsidRDefault="00563B48" w:rsidP="00563B48">
      <w:r w:rsidRPr="00563B48">
        <w:t>Education:</w:t>
      </w:r>
      <w:r w:rsidRPr="00563B48">
        <w:tab/>
      </w:r>
      <w:r w:rsidR="008A6837">
        <w:t>Master of Arts – Economics – Boston University</w:t>
      </w:r>
      <w:r w:rsidR="000B0D08">
        <w:t xml:space="preserve"> – 1979</w:t>
      </w:r>
    </w:p>
    <w:p w14:paraId="6F13117D" w14:textId="3DD8F470" w:rsidR="000B0D08" w:rsidRPr="00563B48" w:rsidRDefault="000B0D08" w:rsidP="00563B48">
      <w:pPr>
        <w:rPr>
          <w:rFonts w:ascii="Times New Roman" w:hAnsi="Times New Roman"/>
          <w:szCs w:val="24"/>
        </w:rPr>
      </w:pPr>
      <w:r>
        <w:tab/>
      </w:r>
      <w:r>
        <w:tab/>
        <w:t xml:space="preserve">Bachelor of Arts – Economics – Karachi </w:t>
      </w:r>
      <w:r w:rsidR="003409A5">
        <w:t>University - 1977</w:t>
      </w:r>
    </w:p>
    <w:p w14:paraId="27B47F4D" w14:textId="77777777" w:rsidR="00563B48" w:rsidRPr="00563B48" w:rsidRDefault="00563B48" w:rsidP="00563B48">
      <w:pPr>
        <w:rPr>
          <w:sz w:val="19"/>
          <w:szCs w:val="19"/>
        </w:rPr>
      </w:pPr>
      <w:r w:rsidRPr="00563B48">
        <w:t>Business Experience:</w:t>
      </w:r>
    </w:p>
    <w:p w14:paraId="52847FC5" w14:textId="189E851E" w:rsidR="00563B48" w:rsidRPr="00563B48" w:rsidRDefault="00563B48" w:rsidP="00563B48">
      <w:pPr>
        <w:numPr>
          <w:ilvl w:val="0"/>
          <w:numId w:val="15"/>
        </w:numPr>
        <w:contextualSpacing/>
        <w:rPr>
          <w:rFonts w:ascii="Times New Roman" w:hAnsi="Times New Roman"/>
          <w:szCs w:val="24"/>
        </w:rPr>
      </w:pPr>
      <w:r w:rsidRPr="00563B48">
        <w:t>Financial Planning Hawaii, Inc. (</w:t>
      </w:r>
      <w:r w:rsidR="0057172D">
        <w:t>September 2024</w:t>
      </w:r>
      <w:r w:rsidRPr="00563B48">
        <w:t xml:space="preserve"> – Present) – </w:t>
      </w:r>
      <w:r w:rsidR="0057172D">
        <w:t>Investment Adviser Representative</w:t>
      </w:r>
    </w:p>
    <w:p w14:paraId="40267764" w14:textId="7EA09D57" w:rsidR="00563B48" w:rsidRPr="00A16AEE" w:rsidRDefault="00563B48" w:rsidP="00563B48">
      <w:pPr>
        <w:numPr>
          <w:ilvl w:val="0"/>
          <w:numId w:val="15"/>
        </w:numPr>
        <w:contextualSpacing/>
        <w:rPr>
          <w:rFonts w:ascii="Times New Roman" w:hAnsi="Times New Roman"/>
          <w:szCs w:val="24"/>
        </w:rPr>
      </w:pPr>
      <w:r w:rsidRPr="00563B48">
        <w:t>J</w:t>
      </w:r>
      <w:r w:rsidR="005559FB">
        <w:t>.</w:t>
      </w:r>
      <w:r w:rsidRPr="00563B48">
        <w:t>W</w:t>
      </w:r>
      <w:r w:rsidR="005559FB">
        <w:t>.</w:t>
      </w:r>
      <w:r w:rsidRPr="00563B48">
        <w:t xml:space="preserve"> Cole</w:t>
      </w:r>
      <w:r w:rsidR="005559FB">
        <w:t xml:space="preserve"> Advisors, Inc.</w:t>
      </w:r>
      <w:r w:rsidRPr="00563B48">
        <w:t xml:space="preserve"> – (</w:t>
      </w:r>
      <w:r w:rsidR="001044B7">
        <w:t>August 2018</w:t>
      </w:r>
      <w:r w:rsidRPr="00563B48">
        <w:t xml:space="preserve"> – </w:t>
      </w:r>
      <w:r w:rsidR="00C828BE">
        <w:t>2025</w:t>
      </w:r>
      <w:r w:rsidRPr="00563B48">
        <w:t>) - Investment Advisor Representative</w:t>
      </w:r>
    </w:p>
    <w:p w14:paraId="20689AF6" w14:textId="53131AFD" w:rsidR="00A16AEE" w:rsidRPr="00563B48" w:rsidRDefault="00A16AEE" w:rsidP="00563B48">
      <w:pPr>
        <w:numPr>
          <w:ilvl w:val="0"/>
          <w:numId w:val="15"/>
        </w:numPr>
        <w:contextualSpacing/>
        <w:rPr>
          <w:rFonts w:ascii="Times New Roman" w:hAnsi="Times New Roman"/>
          <w:szCs w:val="24"/>
        </w:rPr>
      </w:pPr>
      <w:r>
        <w:t xml:space="preserve">J.W. Cole Financial, Inc. – (August 2018 – </w:t>
      </w:r>
      <w:r w:rsidR="00C828BE">
        <w:t>2025</w:t>
      </w:r>
      <w:r>
        <w:t>) – Registered Representative</w:t>
      </w:r>
    </w:p>
    <w:p w14:paraId="2CA7EDC6" w14:textId="77777777" w:rsidR="00563B48" w:rsidRPr="00563B48" w:rsidRDefault="00563B48" w:rsidP="00563B48"/>
    <w:p w14:paraId="41598C1D" w14:textId="4122BDE0" w:rsidR="00563B48" w:rsidRPr="00563B48" w:rsidRDefault="00563B48" w:rsidP="00563B48">
      <w:r w:rsidRPr="00563B48">
        <w:t xml:space="preserve">Licenses: </w:t>
      </w:r>
      <w:r w:rsidR="00A827AE">
        <w:t xml:space="preserve">Uniform Investment Adviser Law Examination (Series </w:t>
      </w:r>
      <w:r w:rsidR="003B4909">
        <w:t>65) – May 1998</w:t>
      </w:r>
    </w:p>
    <w:p w14:paraId="571422AD" w14:textId="77777777" w:rsidR="00563B48" w:rsidRPr="00563B48" w:rsidRDefault="00563B48" w:rsidP="003B4909">
      <w:pPr>
        <w:widowControl w:val="0"/>
        <w:overflowPunct w:val="0"/>
        <w:autoSpaceDE w:val="0"/>
        <w:autoSpaceDN w:val="0"/>
        <w:adjustRightInd w:val="0"/>
        <w:spacing w:line="252" w:lineRule="auto"/>
        <w:ind w:right="1400"/>
        <w:rPr>
          <w:rFonts w:ascii="Times New Roman" w:hAnsi="Times New Roman"/>
          <w:szCs w:val="24"/>
        </w:rPr>
      </w:pPr>
    </w:p>
    <w:p w14:paraId="3A832DCD" w14:textId="77777777" w:rsidR="00563B48" w:rsidRPr="00563B48" w:rsidRDefault="00563B48" w:rsidP="00563B48">
      <w:pPr>
        <w:widowControl w:val="0"/>
        <w:autoSpaceDE w:val="0"/>
        <w:autoSpaceDN w:val="0"/>
        <w:adjustRightInd w:val="0"/>
        <w:spacing w:line="157" w:lineRule="exact"/>
        <w:rPr>
          <w:rFonts w:ascii="Times New Roman" w:hAnsi="Times New Roman"/>
          <w:szCs w:val="24"/>
        </w:rPr>
      </w:pPr>
    </w:p>
    <w:p w14:paraId="5580DAFA" w14:textId="77777777" w:rsidR="00563B48" w:rsidRPr="00563B48" w:rsidRDefault="00563B48" w:rsidP="00563B48">
      <w:pPr>
        <w:rPr>
          <w:rFonts w:cs="Arial"/>
          <w:sz w:val="28"/>
          <w:szCs w:val="28"/>
          <w:u w:val="single"/>
        </w:rPr>
      </w:pPr>
      <w:r w:rsidRPr="00563B48">
        <w:rPr>
          <w:rFonts w:cs="Arial"/>
          <w:sz w:val="28"/>
          <w:szCs w:val="28"/>
          <w:u w:val="single"/>
        </w:rPr>
        <w:t>Item 3 - Disciplinary Information</w:t>
      </w:r>
    </w:p>
    <w:p w14:paraId="4B5D89ED" w14:textId="77777777" w:rsidR="00563B48" w:rsidRPr="00563B48" w:rsidRDefault="00563B48" w:rsidP="00563B48"/>
    <w:p w14:paraId="59125AD7" w14:textId="3905358E" w:rsidR="00563B48" w:rsidRPr="00563B48" w:rsidRDefault="00907DDE" w:rsidP="00563B48">
      <w:pPr>
        <w:rPr>
          <w:rFonts w:ascii="Times New Roman" w:hAnsi="Times New Roman"/>
          <w:szCs w:val="24"/>
        </w:rPr>
      </w:pPr>
      <w:r>
        <w:t>There are no legal or disciplinary events that are material to a client or prospective client’s evaluation of this advisory business.</w:t>
      </w:r>
    </w:p>
    <w:p w14:paraId="3033C718" w14:textId="77777777" w:rsidR="00563B48" w:rsidRPr="00563B48" w:rsidRDefault="00563B48" w:rsidP="00563B48">
      <w:pPr>
        <w:widowControl w:val="0"/>
        <w:autoSpaceDE w:val="0"/>
        <w:autoSpaceDN w:val="0"/>
        <w:adjustRightInd w:val="0"/>
        <w:rPr>
          <w:rFonts w:ascii="Arial" w:hAnsi="Arial" w:cs="Arial"/>
          <w:b/>
          <w:bCs/>
          <w:szCs w:val="24"/>
        </w:rPr>
      </w:pPr>
    </w:p>
    <w:p w14:paraId="559F8259" w14:textId="77777777" w:rsidR="00563B48" w:rsidRDefault="00563B48" w:rsidP="00AC6CA7">
      <w:pPr>
        <w:spacing w:after="200" w:line="276" w:lineRule="auto"/>
        <w:rPr>
          <w:rFonts w:cs="Arial"/>
          <w:sz w:val="28"/>
          <w:szCs w:val="28"/>
          <w:u w:val="single"/>
        </w:rPr>
      </w:pPr>
      <w:r w:rsidRPr="00563B48">
        <w:rPr>
          <w:rFonts w:cs="Arial"/>
          <w:sz w:val="28"/>
          <w:szCs w:val="28"/>
          <w:u w:val="single"/>
        </w:rPr>
        <w:t>Item 4 - Other Business Activities</w:t>
      </w:r>
    </w:p>
    <w:p w14:paraId="00393C7C" w14:textId="56F1B88C" w:rsidR="00E028AD" w:rsidRPr="00E028AD" w:rsidRDefault="00AC6CA7" w:rsidP="00E028AD">
      <w:proofErr w:type="spellStart"/>
      <w:r w:rsidRPr="00E028AD">
        <w:t>Itaat</w:t>
      </w:r>
      <w:proofErr w:type="spellEnd"/>
      <w:r w:rsidRPr="00E028AD">
        <w:t xml:space="preserve"> Husain</w:t>
      </w:r>
      <w:r w:rsidR="00E028AD">
        <w:t xml:space="preserve"> is not engaged in any other investment-related activities.</w:t>
      </w:r>
    </w:p>
    <w:p w14:paraId="49EEE6EF" w14:textId="77777777" w:rsidR="00E028AD" w:rsidRPr="00E028AD" w:rsidRDefault="00E028AD" w:rsidP="00E028AD"/>
    <w:p w14:paraId="4637515E" w14:textId="6EC2C79C" w:rsidR="00E028AD" w:rsidRPr="00AC6CA7" w:rsidRDefault="00E028AD" w:rsidP="00AC6CA7">
      <w:pPr>
        <w:sectPr w:rsidR="00E028AD" w:rsidRPr="00AC6CA7" w:rsidSect="00563B48">
          <w:type w:val="continuous"/>
          <w:pgSz w:w="12240" w:h="15840" w:code="1"/>
          <w:pgMar w:top="1420" w:right="1440" w:bottom="778" w:left="1440" w:header="720" w:footer="720" w:gutter="0"/>
          <w:cols w:space="720" w:equalWidth="0">
            <w:col w:w="9360"/>
          </w:cols>
          <w:noEndnote/>
        </w:sectPr>
      </w:pPr>
    </w:p>
    <w:p w14:paraId="53394D07" w14:textId="77777777" w:rsidR="00563B48" w:rsidRPr="00563B48" w:rsidRDefault="00563B48" w:rsidP="00563B48">
      <w:pPr>
        <w:widowControl w:val="0"/>
        <w:autoSpaceDE w:val="0"/>
        <w:autoSpaceDN w:val="0"/>
        <w:adjustRightInd w:val="0"/>
        <w:spacing w:line="186" w:lineRule="exact"/>
        <w:rPr>
          <w:rFonts w:ascii="Times New Roman" w:hAnsi="Times New Roman"/>
          <w:szCs w:val="24"/>
        </w:rPr>
      </w:pPr>
    </w:p>
    <w:p w14:paraId="584CFA21" w14:textId="77777777" w:rsidR="00563B48" w:rsidRPr="00563B48" w:rsidRDefault="00563B48" w:rsidP="00563B48">
      <w:pPr>
        <w:rPr>
          <w:rFonts w:cs="Arial"/>
          <w:sz w:val="28"/>
          <w:szCs w:val="28"/>
          <w:u w:val="single"/>
        </w:rPr>
      </w:pPr>
      <w:r w:rsidRPr="00563B48">
        <w:rPr>
          <w:rFonts w:cs="Arial"/>
          <w:sz w:val="28"/>
          <w:szCs w:val="28"/>
          <w:u w:val="single"/>
        </w:rPr>
        <w:t>Item 5 - Additional Compensation</w:t>
      </w:r>
    </w:p>
    <w:p w14:paraId="1C24B61B" w14:textId="77777777" w:rsidR="00563B48" w:rsidRPr="00563B48" w:rsidRDefault="00563B48" w:rsidP="00563B48"/>
    <w:p w14:paraId="550112EE" w14:textId="136E1C93" w:rsidR="00C828BE" w:rsidRDefault="00C828BE" w:rsidP="00C828BE">
      <w:proofErr w:type="spellStart"/>
      <w:r>
        <w:t>Itaat</w:t>
      </w:r>
      <w:proofErr w:type="spellEnd"/>
      <w:r>
        <w:t xml:space="preserve"> Husain does not receive economic benefits from anyone who is not a client for providing investment advisory services to clients of Financial Planning Hawaii.</w:t>
      </w:r>
    </w:p>
    <w:p w14:paraId="6D6400E6" w14:textId="77777777" w:rsidR="00563B48" w:rsidRPr="00563B48" w:rsidRDefault="00563B48" w:rsidP="00563B48">
      <w:pPr>
        <w:widowControl w:val="0"/>
        <w:overflowPunct w:val="0"/>
        <w:autoSpaceDE w:val="0"/>
        <w:autoSpaceDN w:val="0"/>
        <w:adjustRightInd w:val="0"/>
        <w:spacing w:line="257" w:lineRule="auto"/>
        <w:ind w:right="100"/>
        <w:rPr>
          <w:rFonts w:ascii="Times New Roman" w:hAnsi="Times New Roman"/>
          <w:szCs w:val="24"/>
        </w:rPr>
      </w:pPr>
    </w:p>
    <w:p w14:paraId="30837270" w14:textId="77777777" w:rsidR="00563B48" w:rsidRPr="00563B48" w:rsidRDefault="00563B48" w:rsidP="00563B48">
      <w:pPr>
        <w:widowControl w:val="0"/>
        <w:autoSpaceDE w:val="0"/>
        <w:autoSpaceDN w:val="0"/>
        <w:adjustRightInd w:val="0"/>
        <w:spacing w:line="176" w:lineRule="exact"/>
        <w:rPr>
          <w:rFonts w:ascii="Times New Roman" w:hAnsi="Times New Roman"/>
          <w:szCs w:val="24"/>
        </w:rPr>
      </w:pPr>
    </w:p>
    <w:p w14:paraId="3DCA0855" w14:textId="77777777" w:rsidR="00563B48" w:rsidRPr="00563B48" w:rsidRDefault="00563B48" w:rsidP="00563B48">
      <w:pPr>
        <w:rPr>
          <w:rFonts w:cs="Arial"/>
          <w:sz w:val="28"/>
          <w:szCs w:val="28"/>
          <w:u w:val="single"/>
        </w:rPr>
      </w:pPr>
      <w:r w:rsidRPr="00563B48">
        <w:rPr>
          <w:rFonts w:cs="Arial"/>
          <w:sz w:val="28"/>
          <w:szCs w:val="28"/>
          <w:u w:val="single"/>
        </w:rPr>
        <w:t>Item 6 - Supervision</w:t>
      </w:r>
    </w:p>
    <w:p w14:paraId="0AAE6FF6" w14:textId="77777777" w:rsidR="00563B48" w:rsidRPr="00563B48" w:rsidRDefault="00563B48" w:rsidP="00563B48"/>
    <w:p w14:paraId="6109E3FE" w14:textId="77777777" w:rsidR="00563B48" w:rsidRPr="00563B48" w:rsidRDefault="00563B48" w:rsidP="00563B48">
      <w:pPr>
        <w:rPr>
          <w:rFonts w:ascii="Times New Roman" w:hAnsi="Times New Roman"/>
          <w:szCs w:val="24"/>
        </w:rPr>
      </w:pPr>
      <w:r w:rsidRPr="00563B48">
        <w:t>John H. Robinson supervises the investment advisory activities of the firm. Mr. Robinson’s contact information is (808) 564-0654. All supervision is performed on a regular basis where all financial planning activity is reviewed and approved by Mr. Robinson as well as a review of financial planning service and the issuance of financial plans.</w:t>
      </w:r>
    </w:p>
    <w:p w14:paraId="537C66E2" w14:textId="77777777" w:rsidR="00563B48" w:rsidRPr="00563B48" w:rsidRDefault="00563B48" w:rsidP="00563B48">
      <w:pPr>
        <w:widowControl w:val="0"/>
        <w:autoSpaceDE w:val="0"/>
        <w:autoSpaceDN w:val="0"/>
        <w:adjustRightInd w:val="0"/>
        <w:spacing w:line="213" w:lineRule="exact"/>
        <w:rPr>
          <w:rFonts w:ascii="Times New Roman" w:hAnsi="Times New Roman"/>
          <w:szCs w:val="24"/>
        </w:rPr>
      </w:pPr>
    </w:p>
    <w:p w14:paraId="6683BD3F" w14:textId="77777777" w:rsidR="00563B48" w:rsidRPr="00563B48" w:rsidRDefault="00563B48" w:rsidP="00563B48">
      <w:pPr>
        <w:rPr>
          <w:rFonts w:cs="Arial"/>
          <w:sz w:val="28"/>
          <w:szCs w:val="28"/>
          <w:u w:val="single"/>
        </w:rPr>
      </w:pPr>
      <w:r w:rsidRPr="00563B48">
        <w:rPr>
          <w:rFonts w:cs="Arial"/>
          <w:sz w:val="28"/>
          <w:szCs w:val="28"/>
          <w:u w:val="single"/>
        </w:rPr>
        <w:t>Item 7 - Requirements for State-Registered Advisers</w:t>
      </w:r>
    </w:p>
    <w:p w14:paraId="67000F39" w14:textId="77777777" w:rsidR="00563B48" w:rsidRPr="00563B48" w:rsidRDefault="00563B48" w:rsidP="00563B48"/>
    <w:p w14:paraId="0854E8C9" w14:textId="77777777" w:rsidR="00563B48" w:rsidRPr="00563B48" w:rsidRDefault="00563B48" w:rsidP="00563B48">
      <w:pPr>
        <w:rPr>
          <w:rFonts w:ascii="Times New Roman" w:hAnsi="Times New Roman"/>
          <w:szCs w:val="24"/>
        </w:rPr>
      </w:pPr>
      <w:r w:rsidRPr="00563B48">
        <w:t>None of the Supervised Persons listed above as part of this Brochure Supplement have been involved in any disclosure event where they were found liable in an arbitration claim alleging damages more than $2,500, or found liable in a civil, self-regulatory organization, or administrative proceeding; or have been the subject of a bankruptcy petition.</w:t>
      </w:r>
    </w:p>
    <w:p w14:paraId="28723E3E" w14:textId="77777777" w:rsidR="00E71F1F" w:rsidRPr="00113DC9" w:rsidRDefault="00E71F1F" w:rsidP="00A76E9F">
      <w:pPr>
        <w:rPr>
          <w:rFonts w:ascii="Times New Roman" w:hAnsi="Times New Roman"/>
          <w:szCs w:val="24"/>
        </w:rPr>
      </w:pPr>
    </w:p>
    <w:p w14:paraId="34D52D8A" w14:textId="77777777" w:rsidR="00184969" w:rsidRDefault="00184969" w:rsidP="00D8021C">
      <w:pPr>
        <w:widowControl w:val="0"/>
        <w:autoSpaceDE w:val="0"/>
        <w:autoSpaceDN w:val="0"/>
        <w:adjustRightInd w:val="0"/>
      </w:pPr>
    </w:p>
    <w:sectPr w:rsidR="00184969" w:rsidSect="000E55D5">
      <w:type w:val="continuous"/>
      <w:pgSz w:w="12240" w:h="15840" w:code="1"/>
      <w:pgMar w:top="1440" w:right="1440" w:bottom="778" w:left="1440" w:header="720" w:footer="720" w:gutter="0"/>
      <w:cols w:space="720" w:equalWidth="0">
        <w:col w:w="9360"/>
      </w:cols>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1CAF52" w14:textId="77777777" w:rsidR="00802EFD" w:rsidRDefault="00802EFD" w:rsidP="00924EEB">
      <w:r>
        <w:separator/>
      </w:r>
    </w:p>
  </w:endnote>
  <w:endnote w:type="continuationSeparator" w:id="0">
    <w:p w14:paraId="671BEC27" w14:textId="77777777" w:rsidR="00802EFD" w:rsidRDefault="00802EFD" w:rsidP="00924E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568185"/>
      <w:docPartObj>
        <w:docPartGallery w:val="Page Numbers (Bottom of Page)"/>
        <w:docPartUnique/>
      </w:docPartObj>
    </w:sdtPr>
    <w:sdtEndPr>
      <w:rPr>
        <w:noProof/>
      </w:rPr>
    </w:sdtEndPr>
    <w:sdtContent>
      <w:p w14:paraId="683E31AB" w14:textId="01B86ACF" w:rsidR="00924EEB" w:rsidRDefault="00924EEB">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7676850" w14:textId="77777777" w:rsidR="00924EEB" w:rsidRDefault="00924EE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326A57" w14:textId="77777777" w:rsidR="00802EFD" w:rsidRDefault="00802EFD" w:rsidP="00924EEB">
      <w:r>
        <w:separator/>
      </w:r>
    </w:p>
  </w:footnote>
  <w:footnote w:type="continuationSeparator" w:id="0">
    <w:p w14:paraId="10A43CE0" w14:textId="77777777" w:rsidR="00802EFD" w:rsidRDefault="00802EFD" w:rsidP="00924E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29"/>
    <w:multiLevelType w:val="hybridMultilevel"/>
    <w:tmpl w:val="00004823"/>
    <w:lvl w:ilvl="0" w:tplc="000018BE">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2CD6"/>
    <w:multiLevelType w:val="hybridMultilevel"/>
    <w:tmpl w:val="000072AE"/>
    <w:lvl w:ilvl="0" w:tplc="00006952">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5F90"/>
    <w:multiLevelType w:val="hybridMultilevel"/>
    <w:tmpl w:val="00001649"/>
    <w:lvl w:ilvl="0" w:tplc="00006DF1">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6784"/>
    <w:multiLevelType w:val="hybridMultilevel"/>
    <w:tmpl w:val="00004AE1"/>
    <w:lvl w:ilvl="0" w:tplc="00003D6C">
      <w:start w:val="1"/>
      <w:numFmt w:val="bullet"/>
      <w:lvlText w:val=""/>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E74AFE"/>
    <w:multiLevelType w:val="hybridMultilevel"/>
    <w:tmpl w:val="88ACB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3377193"/>
    <w:multiLevelType w:val="hybridMultilevel"/>
    <w:tmpl w:val="E9A03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D21A26"/>
    <w:multiLevelType w:val="hybridMultilevel"/>
    <w:tmpl w:val="BE64B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CF24BFD"/>
    <w:multiLevelType w:val="hybridMultilevel"/>
    <w:tmpl w:val="C9CAC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D30588"/>
    <w:multiLevelType w:val="hybridMultilevel"/>
    <w:tmpl w:val="E1F879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7817648"/>
    <w:multiLevelType w:val="hybridMultilevel"/>
    <w:tmpl w:val="0092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1431A2B"/>
    <w:multiLevelType w:val="hybridMultilevel"/>
    <w:tmpl w:val="1048D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F2557B"/>
    <w:multiLevelType w:val="hybridMultilevel"/>
    <w:tmpl w:val="51AC9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3B38B7"/>
    <w:multiLevelType w:val="hybridMultilevel"/>
    <w:tmpl w:val="04C69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681C31"/>
    <w:multiLevelType w:val="multilevel"/>
    <w:tmpl w:val="808270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7F551C2"/>
    <w:multiLevelType w:val="hybridMultilevel"/>
    <w:tmpl w:val="8AAEBE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9653B1"/>
    <w:multiLevelType w:val="hybridMultilevel"/>
    <w:tmpl w:val="F8765410"/>
    <w:lvl w:ilvl="0" w:tplc="4CC6DAB6">
      <w:numFmt w:val="bullet"/>
      <w:lvlText w:val=""/>
      <w:lvlJc w:val="left"/>
      <w:pPr>
        <w:ind w:left="820" w:hanging="360"/>
      </w:pPr>
      <w:rPr>
        <w:rFonts w:ascii="Symbol" w:eastAsia="Symbol" w:hAnsi="Symbol" w:cs="Symbol" w:hint="default"/>
        <w:b w:val="0"/>
        <w:bCs w:val="0"/>
        <w:i w:val="0"/>
        <w:iCs w:val="0"/>
        <w:w w:val="99"/>
        <w:sz w:val="24"/>
        <w:szCs w:val="24"/>
        <w:lang w:val="en-US" w:eastAsia="en-US" w:bidi="ar-SA"/>
      </w:rPr>
    </w:lvl>
    <w:lvl w:ilvl="1" w:tplc="16C4D89E">
      <w:numFmt w:val="bullet"/>
      <w:lvlText w:val="•"/>
      <w:lvlJc w:val="left"/>
      <w:pPr>
        <w:ind w:left="1718" w:hanging="360"/>
      </w:pPr>
      <w:rPr>
        <w:rFonts w:hint="default"/>
        <w:lang w:val="en-US" w:eastAsia="en-US" w:bidi="ar-SA"/>
      </w:rPr>
    </w:lvl>
    <w:lvl w:ilvl="2" w:tplc="AADC66B6">
      <w:numFmt w:val="bullet"/>
      <w:lvlText w:val="•"/>
      <w:lvlJc w:val="left"/>
      <w:pPr>
        <w:ind w:left="2616" w:hanging="360"/>
      </w:pPr>
      <w:rPr>
        <w:rFonts w:hint="default"/>
        <w:lang w:val="en-US" w:eastAsia="en-US" w:bidi="ar-SA"/>
      </w:rPr>
    </w:lvl>
    <w:lvl w:ilvl="3" w:tplc="BCA6E18E">
      <w:numFmt w:val="bullet"/>
      <w:lvlText w:val="•"/>
      <w:lvlJc w:val="left"/>
      <w:pPr>
        <w:ind w:left="3514" w:hanging="360"/>
      </w:pPr>
      <w:rPr>
        <w:rFonts w:hint="default"/>
        <w:lang w:val="en-US" w:eastAsia="en-US" w:bidi="ar-SA"/>
      </w:rPr>
    </w:lvl>
    <w:lvl w:ilvl="4" w:tplc="B3B8481C">
      <w:numFmt w:val="bullet"/>
      <w:lvlText w:val="•"/>
      <w:lvlJc w:val="left"/>
      <w:pPr>
        <w:ind w:left="4412" w:hanging="360"/>
      </w:pPr>
      <w:rPr>
        <w:rFonts w:hint="default"/>
        <w:lang w:val="en-US" w:eastAsia="en-US" w:bidi="ar-SA"/>
      </w:rPr>
    </w:lvl>
    <w:lvl w:ilvl="5" w:tplc="C34E04DA">
      <w:numFmt w:val="bullet"/>
      <w:lvlText w:val="•"/>
      <w:lvlJc w:val="left"/>
      <w:pPr>
        <w:ind w:left="5310" w:hanging="360"/>
      </w:pPr>
      <w:rPr>
        <w:rFonts w:hint="default"/>
        <w:lang w:val="en-US" w:eastAsia="en-US" w:bidi="ar-SA"/>
      </w:rPr>
    </w:lvl>
    <w:lvl w:ilvl="6" w:tplc="7646F516">
      <w:numFmt w:val="bullet"/>
      <w:lvlText w:val="•"/>
      <w:lvlJc w:val="left"/>
      <w:pPr>
        <w:ind w:left="6208" w:hanging="360"/>
      </w:pPr>
      <w:rPr>
        <w:rFonts w:hint="default"/>
        <w:lang w:val="en-US" w:eastAsia="en-US" w:bidi="ar-SA"/>
      </w:rPr>
    </w:lvl>
    <w:lvl w:ilvl="7" w:tplc="E882713C">
      <w:numFmt w:val="bullet"/>
      <w:lvlText w:val="•"/>
      <w:lvlJc w:val="left"/>
      <w:pPr>
        <w:ind w:left="7106" w:hanging="360"/>
      </w:pPr>
      <w:rPr>
        <w:rFonts w:hint="default"/>
        <w:lang w:val="en-US" w:eastAsia="en-US" w:bidi="ar-SA"/>
      </w:rPr>
    </w:lvl>
    <w:lvl w:ilvl="8" w:tplc="68D42DA8">
      <w:numFmt w:val="bullet"/>
      <w:lvlText w:val="•"/>
      <w:lvlJc w:val="left"/>
      <w:pPr>
        <w:ind w:left="8004" w:hanging="360"/>
      </w:pPr>
      <w:rPr>
        <w:rFonts w:hint="default"/>
        <w:lang w:val="en-US" w:eastAsia="en-US" w:bidi="ar-SA"/>
      </w:rPr>
    </w:lvl>
  </w:abstractNum>
  <w:abstractNum w:abstractNumId="16" w15:restartNumberingAfterBreak="0">
    <w:nsid w:val="53867EC2"/>
    <w:multiLevelType w:val="hybridMultilevel"/>
    <w:tmpl w:val="77825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7966D99"/>
    <w:multiLevelType w:val="hybridMultilevel"/>
    <w:tmpl w:val="8716B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DD6CEB"/>
    <w:multiLevelType w:val="hybridMultilevel"/>
    <w:tmpl w:val="E13AF714"/>
    <w:lvl w:ilvl="0" w:tplc="9B9427B0">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9" w15:restartNumberingAfterBreak="0">
    <w:nsid w:val="6206597A"/>
    <w:multiLevelType w:val="hybridMultilevel"/>
    <w:tmpl w:val="E2187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166333E"/>
    <w:multiLevelType w:val="hybridMultilevel"/>
    <w:tmpl w:val="FA320F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E32B63"/>
    <w:multiLevelType w:val="hybridMultilevel"/>
    <w:tmpl w:val="9AE24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38722038">
    <w:abstractNumId w:val="0"/>
  </w:num>
  <w:num w:numId="2" w16cid:durableId="263272628">
    <w:abstractNumId w:val="3"/>
  </w:num>
  <w:num w:numId="3" w16cid:durableId="299261884">
    <w:abstractNumId w:val="1"/>
  </w:num>
  <w:num w:numId="4" w16cid:durableId="673337187">
    <w:abstractNumId w:val="2"/>
  </w:num>
  <w:num w:numId="5" w16cid:durableId="1991326320">
    <w:abstractNumId w:val="18"/>
  </w:num>
  <w:num w:numId="6" w16cid:durableId="426079937">
    <w:abstractNumId w:val="5"/>
  </w:num>
  <w:num w:numId="7" w16cid:durableId="67386623">
    <w:abstractNumId w:val="13"/>
  </w:num>
  <w:num w:numId="8" w16cid:durableId="115680162">
    <w:abstractNumId w:val="21"/>
  </w:num>
  <w:num w:numId="9" w16cid:durableId="1580213593">
    <w:abstractNumId w:val="6"/>
  </w:num>
  <w:num w:numId="10" w16cid:durableId="1726952933">
    <w:abstractNumId w:val="8"/>
  </w:num>
  <w:num w:numId="11" w16cid:durableId="898321323">
    <w:abstractNumId w:val="10"/>
  </w:num>
  <w:num w:numId="12" w16cid:durableId="457652688">
    <w:abstractNumId w:val="15"/>
  </w:num>
  <w:num w:numId="13" w16cid:durableId="211230420">
    <w:abstractNumId w:val="16"/>
  </w:num>
  <w:num w:numId="14" w16cid:durableId="253586691">
    <w:abstractNumId w:val="14"/>
  </w:num>
  <w:num w:numId="15" w16cid:durableId="6913027">
    <w:abstractNumId w:val="19"/>
  </w:num>
  <w:num w:numId="16" w16cid:durableId="747727364">
    <w:abstractNumId w:val="20"/>
  </w:num>
  <w:num w:numId="17" w16cid:durableId="215821603">
    <w:abstractNumId w:val="17"/>
  </w:num>
  <w:num w:numId="18" w16cid:durableId="1456606206">
    <w:abstractNumId w:val="11"/>
  </w:num>
  <w:num w:numId="19" w16cid:durableId="1405950650">
    <w:abstractNumId w:val="4"/>
  </w:num>
  <w:num w:numId="20" w16cid:durableId="38478263">
    <w:abstractNumId w:val="9"/>
  </w:num>
  <w:num w:numId="21" w16cid:durableId="125202814">
    <w:abstractNumId w:val="12"/>
  </w:num>
  <w:num w:numId="22" w16cid:durableId="157898065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trackRevisions/>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76C"/>
    <w:rsid w:val="00006CD7"/>
    <w:rsid w:val="00010579"/>
    <w:rsid w:val="00010A0E"/>
    <w:rsid w:val="000141AB"/>
    <w:rsid w:val="00015019"/>
    <w:rsid w:val="00016565"/>
    <w:rsid w:val="000179F8"/>
    <w:rsid w:val="00020C7C"/>
    <w:rsid w:val="00023C63"/>
    <w:rsid w:val="00035F1D"/>
    <w:rsid w:val="00044B62"/>
    <w:rsid w:val="0004670B"/>
    <w:rsid w:val="0005013D"/>
    <w:rsid w:val="00051D2A"/>
    <w:rsid w:val="00053B29"/>
    <w:rsid w:val="00054C2C"/>
    <w:rsid w:val="00055C88"/>
    <w:rsid w:val="0005691D"/>
    <w:rsid w:val="00063A15"/>
    <w:rsid w:val="00067E07"/>
    <w:rsid w:val="0007014E"/>
    <w:rsid w:val="00074077"/>
    <w:rsid w:val="000761EE"/>
    <w:rsid w:val="00076CCB"/>
    <w:rsid w:val="000775A3"/>
    <w:rsid w:val="0008275A"/>
    <w:rsid w:val="00085E4B"/>
    <w:rsid w:val="00093082"/>
    <w:rsid w:val="000977EC"/>
    <w:rsid w:val="000A3879"/>
    <w:rsid w:val="000B0D08"/>
    <w:rsid w:val="000B4339"/>
    <w:rsid w:val="000C3883"/>
    <w:rsid w:val="000C39FA"/>
    <w:rsid w:val="000C4377"/>
    <w:rsid w:val="000E55D5"/>
    <w:rsid w:val="000E6DD4"/>
    <w:rsid w:val="000F07D2"/>
    <w:rsid w:val="000F0B42"/>
    <w:rsid w:val="00100C8F"/>
    <w:rsid w:val="00102A8D"/>
    <w:rsid w:val="001044B7"/>
    <w:rsid w:val="001044C8"/>
    <w:rsid w:val="0010474C"/>
    <w:rsid w:val="00104BFA"/>
    <w:rsid w:val="00105A43"/>
    <w:rsid w:val="00106954"/>
    <w:rsid w:val="001107EC"/>
    <w:rsid w:val="00110B87"/>
    <w:rsid w:val="00110ED7"/>
    <w:rsid w:val="00113640"/>
    <w:rsid w:val="00113DC9"/>
    <w:rsid w:val="00131BE6"/>
    <w:rsid w:val="00131D13"/>
    <w:rsid w:val="00132029"/>
    <w:rsid w:val="00134E0F"/>
    <w:rsid w:val="00136128"/>
    <w:rsid w:val="00143105"/>
    <w:rsid w:val="001454F4"/>
    <w:rsid w:val="001524C0"/>
    <w:rsid w:val="00157440"/>
    <w:rsid w:val="001642FB"/>
    <w:rsid w:val="00165384"/>
    <w:rsid w:val="00165793"/>
    <w:rsid w:val="001667FE"/>
    <w:rsid w:val="001671D2"/>
    <w:rsid w:val="0017570D"/>
    <w:rsid w:val="00177C0A"/>
    <w:rsid w:val="00183731"/>
    <w:rsid w:val="00184969"/>
    <w:rsid w:val="00196B0A"/>
    <w:rsid w:val="001A0AAB"/>
    <w:rsid w:val="001A0D86"/>
    <w:rsid w:val="001A21A6"/>
    <w:rsid w:val="001A795E"/>
    <w:rsid w:val="001B4C1A"/>
    <w:rsid w:val="001B6454"/>
    <w:rsid w:val="001B673B"/>
    <w:rsid w:val="001C7280"/>
    <w:rsid w:val="001D0D37"/>
    <w:rsid w:val="001D6630"/>
    <w:rsid w:val="001E33DD"/>
    <w:rsid w:val="001E46D2"/>
    <w:rsid w:val="001E4FFE"/>
    <w:rsid w:val="001E503C"/>
    <w:rsid w:val="001E5837"/>
    <w:rsid w:val="001E7137"/>
    <w:rsid w:val="001F33D1"/>
    <w:rsid w:val="001F4601"/>
    <w:rsid w:val="001F6526"/>
    <w:rsid w:val="001F6B2C"/>
    <w:rsid w:val="002014DD"/>
    <w:rsid w:val="0020299E"/>
    <w:rsid w:val="0020534E"/>
    <w:rsid w:val="0021736B"/>
    <w:rsid w:val="00230F0D"/>
    <w:rsid w:val="00240000"/>
    <w:rsid w:val="002432C7"/>
    <w:rsid w:val="00245678"/>
    <w:rsid w:val="00247D56"/>
    <w:rsid w:val="00250789"/>
    <w:rsid w:val="002538D0"/>
    <w:rsid w:val="002551F3"/>
    <w:rsid w:val="00255530"/>
    <w:rsid w:val="0025584B"/>
    <w:rsid w:val="00257B13"/>
    <w:rsid w:val="002607B5"/>
    <w:rsid w:val="00260BE6"/>
    <w:rsid w:val="00261A84"/>
    <w:rsid w:val="00271033"/>
    <w:rsid w:val="002743A0"/>
    <w:rsid w:val="0027458D"/>
    <w:rsid w:val="002760E2"/>
    <w:rsid w:val="002768CC"/>
    <w:rsid w:val="00276959"/>
    <w:rsid w:val="00276DA8"/>
    <w:rsid w:val="002777A4"/>
    <w:rsid w:val="00284B43"/>
    <w:rsid w:val="0028584C"/>
    <w:rsid w:val="002862F3"/>
    <w:rsid w:val="00286A96"/>
    <w:rsid w:val="00287D63"/>
    <w:rsid w:val="00290B01"/>
    <w:rsid w:val="00293BE5"/>
    <w:rsid w:val="00295D51"/>
    <w:rsid w:val="00296A06"/>
    <w:rsid w:val="002A097A"/>
    <w:rsid w:val="002A4476"/>
    <w:rsid w:val="002A59B3"/>
    <w:rsid w:val="002B31B0"/>
    <w:rsid w:val="002B351C"/>
    <w:rsid w:val="002B3D11"/>
    <w:rsid w:val="002B60B2"/>
    <w:rsid w:val="002C2765"/>
    <w:rsid w:val="002D0318"/>
    <w:rsid w:val="002D21A0"/>
    <w:rsid w:val="002D2B90"/>
    <w:rsid w:val="002D5F74"/>
    <w:rsid w:val="002D74BC"/>
    <w:rsid w:val="002D76AE"/>
    <w:rsid w:val="002F010D"/>
    <w:rsid w:val="002F21E2"/>
    <w:rsid w:val="0030225C"/>
    <w:rsid w:val="003103A7"/>
    <w:rsid w:val="00315417"/>
    <w:rsid w:val="00316D17"/>
    <w:rsid w:val="00327503"/>
    <w:rsid w:val="00330312"/>
    <w:rsid w:val="00335A6F"/>
    <w:rsid w:val="003377C6"/>
    <w:rsid w:val="003409A5"/>
    <w:rsid w:val="00342CB3"/>
    <w:rsid w:val="00345696"/>
    <w:rsid w:val="00345FD5"/>
    <w:rsid w:val="00352A38"/>
    <w:rsid w:val="00354168"/>
    <w:rsid w:val="00355AD8"/>
    <w:rsid w:val="00366AAE"/>
    <w:rsid w:val="00370653"/>
    <w:rsid w:val="003716D4"/>
    <w:rsid w:val="00372BAA"/>
    <w:rsid w:val="00372E70"/>
    <w:rsid w:val="00374031"/>
    <w:rsid w:val="003741FB"/>
    <w:rsid w:val="00385341"/>
    <w:rsid w:val="003940B8"/>
    <w:rsid w:val="00395954"/>
    <w:rsid w:val="003A48F6"/>
    <w:rsid w:val="003A6EAA"/>
    <w:rsid w:val="003B4909"/>
    <w:rsid w:val="003B7EEC"/>
    <w:rsid w:val="003C2914"/>
    <w:rsid w:val="003C70B8"/>
    <w:rsid w:val="003D0379"/>
    <w:rsid w:val="003D7261"/>
    <w:rsid w:val="003F1BB1"/>
    <w:rsid w:val="003F2F93"/>
    <w:rsid w:val="003F3AB5"/>
    <w:rsid w:val="003F4715"/>
    <w:rsid w:val="003F6815"/>
    <w:rsid w:val="004005A4"/>
    <w:rsid w:val="00400B96"/>
    <w:rsid w:val="00403ADD"/>
    <w:rsid w:val="00410440"/>
    <w:rsid w:val="00411CEC"/>
    <w:rsid w:val="00424712"/>
    <w:rsid w:val="00426357"/>
    <w:rsid w:val="004311B7"/>
    <w:rsid w:val="00432813"/>
    <w:rsid w:val="00432DA0"/>
    <w:rsid w:val="00442CD1"/>
    <w:rsid w:val="00444A87"/>
    <w:rsid w:val="00446A83"/>
    <w:rsid w:val="00450996"/>
    <w:rsid w:val="00453048"/>
    <w:rsid w:val="00453BA8"/>
    <w:rsid w:val="00456B6D"/>
    <w:rsid w:val="00461689"/>
    <w:rsid w:val="00464DEB"/>
    <w:rsid w:val="004661D1"/>
    <w:rsid w:val="0047370B"/>
    <w:rsid w:val="00474D9D"/>
    <w:rsid w:val="00474F7D"/>
    <w:rsid w:val="00477B17"/>
    <w:rsid w:val="004823E1"/>
    <w:rsid w:val="00491B29"/>
    <w:rsid w:val="00493FE7"/>
    <w:rsid w:val="00495FAE"/>
    <w:rsid w:val="00496DD3"/>
    <w:rsid w:val="004A157C"/>
    <w:rsid w:val="004A16D5"/>
    <w:rsid w:val="004A74C6"/>
    <w:rsid w:val="004C1B52"/>
    <w:rsid w:val="004C1EA8"/>
    <w:rsid w:val="004C2BCB"/>
    <w:rsid w:val="004C70D0"/>
    <w:rsid w:val="004D0A52"/>
    <w:rsid w:val="004D4A60"/>
    <w:rsid w:val="004D5449"/>
    <w:rsid w:val="004D7A76"/>
    <w:rsid w:val="004E23FB"/>
    <w:rsid w:val="004F332F"/>
    <w:rsid w:val="004F3B24"/>
    <w:rsid w:val="004F44F9"/>
    <w:rsid w:val="005036B8"/>
    <w:rsid w:val="00504973"/>
    <w:rsid w:val="00506189"/>
    <w:rsid w:val="00506E2C"/>
    <w:rsid w:val="0051088E"/>
    <w:rsid w:val="00520F83"/>
    <w:rsid w:val="005254DE"/>
    <w:rsid w:val="00535290"/>
    <w:rsid w:val="005437AE"/>
    <w:rsid w:val="0054396F"/>
    <w:rsid w:val="005559FB"/>
    <w:rsid w:val="00556510"/>
    <w:rsid w:val="00556E46"/>
    <w:rsid w:val="005575EA"/>
    <w:rsid w:val="00557C27"/>
    <w:rsid w:val="005611F7"/>
    <w:rsid w:val="00562940"/>
    <w:rsid w:val="00563B48"/>
    <w:rsid w:val="0057172D"/>
    <w:rsid w:val="00572B44"/>
    <w:rsid w:val="00576872"/>
    <w:rsid w:val="0058637B"/>
    <w:rsid w:val="005926E9"/>
    <w:rsid w:val="00594962"/>
    <w:rsid w:val="005A1B7F"/>
    <w:rsid w:val="005A22E8"/>
    <w:rsid w:val="005A23CE"/>
    <w:rsid w:val="005A56AF"/>
    <w:rsid w:val="005A5AD6"/>
    <w:rsid w:val="005A70C8"/>
    <w:rsid w:val="005B442D"/>
    <w:rsid w:val="005C765D"/>
    <w:rsid w:val="005D0948"/>
    <w:rsid w:val="005D295A"/>
    <w:rsid w:val="005E7A3E"/>
    <w:rsid w:val="005F495A"/>
    <w:rsid w:val="006017E3"/>
    <w:rsid w:val="00602D89"/>
    <w:rsid w:val="00605ADA"/>
    <w:rsid w:val="0060607D"/>
    <w:rsid w:val="00607F9D"/>
    <w:rsid w:val="00612CF5"/>
    <w:rsid w:val="0061470B"/>
    <w:rsid w:val="006216B3"/>
    <w:rsid w:val="00627A22"/>
    <w:rsid w:val="00637F5B"/>
    <w:rsid w:val="00652E7F"/>
    <w:rsid w:val="00660145"/>
    <w:rsid w:val="00660DF2"/>
    <w:rsid w:val="00662432"/>
    <w:rsid w:val="0066791D"/>
    <w:rsid w:val="00673B79"/>
    <w:rsid w:val="006740C9"/>
    <w:rsid w:val="0068006E"/>
    <w:rsid w:val="00683372"/>
    <w:rsid w:val="006927D8"/>
    <w:rsid w:val="00694F7B"/>
    <w:rsid w:val="00695AB6"/>
    <w:rsid w:val="00696318"/>
    <w:rsid w:val="0069654C"/>
    <w:rsid w:val="006A047B"/>
    <w:rsid w:val="006A141B"/>
    <w:rsid w:val="006B2961"/>
    <w:rsid w:val="006B6542"/>
    <w:rsid w:val="006C13E4"/>
    <w:rsid w:val="006C32A0"/>
    <w:rsid w:val="006C3CC2"/>
    <w:rsid w:val="006D5154"/>
    <w:rsid w:val="006D5413"/>
    <w:rsid w:val="006D59F4"/>
    <w:rsid w:val="006D71B3"/>
    <w:rsid w:val="006E0043"/>
    <w:rsid w:val="006E140B"/>
    <w:rsid w:val="006E291C"/>
    <w:rsid w:val="006E4031"/>
    <w:rsid w:val="006E4976"/>
    <w:rsid w:val="006F41CF"/>
    <w:rsid w:val="00700C47"/>
    <w:rsid w:val="007027B4"/>
    <w:rsid w:val="0070378E"/>
    <w:rsid w:val="00706677"/>
    <w:rsid w:val="007079C4"/>
    <w:rsid w:val="007126A3"/>
    <w:rsid w:val="0071270C"/>
    <w:rsid w:val="00712BAE"/>
    <w:rsid w:val="00713378"/>
    <w:rsid w:val="007241BF"/>
    <w:rsid w:val="0072556A"/>
    <w:rsid w:val="00725A30"/>
    <w:rsid w:val="007355FB"/>
    <w:rsid w:val="0073621D"/>
    <w:rsid w:val="00743D2A"/>
    <w:rsid w:val="0074598F"/>
    <w:rsid w:val="00747EFC"/>
    <w:rsid w:val="007519A3"/>
    <w:rsid w:val="00753756"/>
    <w:rsid w:val="00753E49"/>
    <w:rsid w:val="00755F38"/>
    <w:rsid w:val="0075655C"/>
    <w:rsid w:val="00761533"/>
    <w:rsid w:val="00764011"/>
    <w:rsid w:val="007675EF"/>
    <w:rsid w:val="007726C8"/>
    <w:rsid w:val="007752A6"/>
    <w:rsid w:val="00776360"/>
    <w:rsid w:val="00777747"/>
    <w:rsid w:val="00777FB9"/>
    <w:rsid w:val="00784305"/>
    <w:rsid w:val="00794D90"/>
    <w:rsid w:val="007B3DA9"/>
    <w:rsid w:val="007B44E9"/>
    <w:rsid w:val="007D1D01"/>
    <w:rsid w:val="007D376A"/>
    <w:rsid w:val="007D7242"/>
    <w:rsid w:val="007D75F2"/>
    <w:rsid w:val="007E10C8"/>
    <w:rsid w:val="007E4A4F"/>
    <w:rsid w:val="007E7295"/>
    <w:rsid w:val="007F1722"/>
    <w:rsid w:val="007F370D"/>
    <w:rsid w:val="007F4828"/>
    <w:rsid w:val="007F6D6D"/>
    <w:rsid w:val="007F7D80"/>
    <w:rsid w:val="0080170C"/>
    <w:rsid w:val="00801BF2"/>
    <w:rsid w:val="00801EB8"/>
    <w:rsid w:val="00802EFD"/>
    <w:rsid w:val="008124E1"/>
    <w:rsid w:val="0081571B"/>
    <w:rsid w:val="00816EEB"/>
    <w:rsid w:val="008325FA"/>
    <w:rsid w:val="008332B4"/>
    <w:rsid w:val="00833420"/>
    <w:rsid w:val="0083403F"/>
    <w:rsid w:val="008351CE"/>
    <w:rsid w:val="00845430"/>
    <w:rsid w:val="0084560F"/>
    <w:rsid w:val="00850C18"/>
    <w:rsid w:val="00851F30"/>
    <w:rsid w:val="00853902"/>
    <w:rsid w:val="0085538A"/>
    <w:rsid w:val="008571BF"/>
    <w:rsid w:val="00865BF8"/>
    <w:rsid w:val="0087276E"/>
    <w:rsid w:val="00873801"/>
    <w:rsid w:val="00881BF9"/>
    <w:rsid w:val="008858DA"/>
    <w:rsid w:val="00887418"/>
    <w:rsid w:val="00887774"/>
    <w:rsid w:val="0089176B"/>
    <w:rsid w:val="008933AC"/>
    <w:rsid w:val="00897E1D"/>
    <w:rsid w:val="008A0E05"/>
    <w:rsid w:val="008A6837"/>
    <w:rsid w:val="008A6DF5"/>
    <w:rsid w:val="008B0EAB"/>
    <w:rsid w:val="008B4153"/>
    <w:rsid w:val="008B4BD6"/>
    <w:rsid w:val="008C44D0"/>
    <w:rsid w:val="008C57A1"/>
    <w:rsid w:val="008C70E7"/>
    <w:rsid w:val="008D2948"/>
    <w:rsid w:val="008D5835"/>
    <w:rsid w:val="008D76E4"/>
    <w:rsid w:val="008E42D2"/>
    <w:rsid w:val="008E4DB2"/>
    <w:rsid w:val="008E52B2"/>
    <w:rsid w:val="008F5056"/>
    <w:rsid w:val="00907DDE"/>
    <w:rsid w:val="00913028"/>
    <w:rsid w:val="00914849"/>
    <w:rsid w:val="00923336"/>
    <w:rsid w:val="00924EEB"/>
    <w:rsid w:val="00931DA9"/>
    <w:rsid w:val="00935968"/>
    <w:rsid w:val="009400BB"/>
    <w:rsid w:val="00940FEC"/>
    <w:rsid w:val="00942184"/>
    <w:rsid w:val="0094609A"/>
    <w:rsid w:val="00952357"/>
    <w:rsid w:val="009567B0"/>
    <w:rsid w:val="00963057"/>
    <w:rsid w:val="00965017"/>
    <w:rsid w:val="009660EC"/>
    <w:rsid w:val="00966984"/>
    <w:rsid w:val="00967BAD"/>
    <w:rsid w:val="00973A4A"/>
    <w:rsid w:val="00986126"/>
    <w:rsid w:val="0098676C"/>
    <w:rsid w:val="00990729"/>
    <w:rsid w:val="00993CEC"/>
    <w:rsid w:val="009A0D8B"/>
    <w:rsid w:val="009A5B6F"/>
    <w:rsid w:val="009A60B2"/>
    <w:rsid w:val="009A6D3E"/>
    <w:rsid w:val="009A7442"/>
    <w:rsid w:val="009B6CF8"/>
    <w:rsid w:val="009C2905"/>
    <w:rsid w:val="009C4336"/>
    <w:rsid w:val="009C4550"/>
    <w:rsid w:val="009D0743"/>
    <w:rsid w:val="009D4E85"/>
    <w:rsid w:val="009D60EE"/>
    <w:rsid w:val="009E463C"/>
    <w:rsid w:val="009E642B"/>
    <w:rsid w:val="009E72CB"/>
    <w:rsid w:val="00A0193B"/>
    <w:rsid w:val="00A06511"/>
    <w:rsid w:val="00A069E8"/>
    <w:rsid w:val="00A10E65"/>
    <w:rsid w:val="00A1119A"/>
    <w:rsid w:val="00A13010"/>
    <w:rsid w:val="00A137CD"/>
    <w:rsid w:val="00A16AEE"/>
    <w:rsid w:val="00A23B84"/>
    <w:rsid w:val="00A372E5"/>
    <w:rsid w:val="00A47121"/>
    <w:rsid w:val="00A51FA4"/>
    <w:rsid w:val="00A60E11"/>
    <w:rsid w:val="00A65224"/>
    <w:rsid w:val="00A652FF"/>
    <w:rsid w:val="00A66CA0"/>
    <w:rsid w:val="00A67216"/>
    <w:rsid w:val="00A67665"/>
    <w:rsid w:val="00A70FCA"/>
    <w:rsid w:val="00A71FED"/>
    <w:rsid w:val="00A76E9F"/>
    <w:rsid w:val="00A827AE"/>
    <w:rsid w:val="00A862E1"/>
    <w:rsid w:val="00A862F5"/>
    <w:rsid w:val="00A86AD7"/>
    <w:rsid w:val="00A93B88"/>
    <w:rsid w:val="00A97A37"/>
    <w:rsid w:val="00AA2B0A"/>
    <w:rsid w:val="00AA7F69"/>
    <w:rsid w:val="00AB5E1D"/>
    <w:rsid w:val="00AB61D8"/>
    <w:rsid w:val="00AB68A3"/>
    <w:rsid w:val="00AC2CB6"/>
    <w:rsid w:val="00AC39E3"/>
    <w:rsid w:val="00AC687E"/>
    <w:rsid w:val="00AC6CA7"/>
    <w:rsid w:val="00AD354C"/>
    <w:rsid w:val="00AD3D20"/>
    <w:rsid w:val="00AD45C7"/>
    <w:rsid w:val="00AD794A"/>
    <w:rsid w:val="00AE032C"/>
    <w:rsid w:val="00AE3A8F"/>
    <w:rsid w:val="00AE3AD9"/>
    <w:rsid w:val="00AE61B5"/>
    <w:rsid w:val="00AE7A38"/>
    <w:rsid w:val="00AF0977"/>
    <w:rsid w:val="00AF1509"/>
    <w:rsid w:val="00AF2D88"/>
    <w:rsid w:val="00AF3D42"/>
    <w:rsid w:val="00AF7C47"/>
    <w:rsid w:val="00B00517"/>
    <w:rsid w:val="00B02B0D"/>
    <w:rsid w:val="00B02B6B"/>
    <w:rsid w:val="00B02E31"/>
    <w:rsid w:val="00B039AB"/>
    <w:rsid w:val="00B12E56"/>
    <w:rsid w:val="00B1429C"/>
    <w:rsid w:val="00B1612C"/>
    <w:rsid w:val="00B217EC"/>
    <w:rsid w:val="00B31DFA"/>
    <w:rsid w:val="00B343E3"/>
    <w:rsid w:val="00B37297"/>
    <w:rsid w:val="00B40EC4"/>
    <w:rsid w:val="00B47FA6"/>
    <w:rsid w:val="00B52581"/>
    <w:rsid w:val="00B66DC0"/>
    <w:rsid w:val="00B70A57"/>
    <w:rsid w:val="00B71BA1"/>
    <w:rsid w:val="00B741ED"/>
    <w:rsid w:val="00B8276C"/>
    <w:rsid w:val="00B8473F"/>
    <w:rsid w:val="00B92F88"/>
    <w:rsid w:val="00B94A7A"/>
    <w:rsid w:val="00B9639F"/>
    <w:rsid w:val="00BA69CA"/>
    <w:rsid w:val="00BB1588"/>
    <w:rsid w:val="00BB19D2"/>
    <w:rsid w:val="00BC0DDB"/>
    <w:rsid w:val="00BC3D36"/>
    <w:rsid w:val="00BC3E9F"/>
    <w:rsid w:val="00BC5881"/>
    <w:rsid w:val="00BC697D"/>
    <w:rsid w:val="00BD3507"/>
    <w:rsid w:val="00BD6CEB"/>
    <w:rsid w:val="00BE50A5"/>
    <w:rsid w:val="00BE57A4"/>
    <w:rsid w:val="00C10ACC"/>
    <w:rsid w:val="00C20E00"/>
    <w:rsid w:val="00C21C87"/>
    <w:rsid w:val="00C25CC6"/>
    <w:rsid w:val="00C331FD"/>
    <w:rsid w:val="00C357F6"/>
    <w:rsid w:val="00C43FEB"/>
    <w:rsid w:val="00C606B2"/>
    <w:rsid w:val="00C6084E"/>
    <w:rsid w:val="00C65A6E"/>
    <w:rsid w:val="00C6649B"/>
    <w:rsid w:val="00C67CA4"/>
    <w:rsid w:val="00C71A7B"/>
    <w:rsid w:val="00C74D3D"/>
    <w:rsid w:val="00C77D8E"/>
    <w:rsid w:val="00C8245A"/>
    <w:rsid w:val="00C828BE"/>
    <w:rsid w:val="00C86653"/>
    <w:rsid w:val="00C9306C"/>
    <w:rsid w:val="00C954D2"/>
    <w:rsid w:val="00CA58D0"/>
    <w:rsid w:val="00CA7179"/>
    <w:rsid w:val="00CB2195"/>
    <w:rsid w:val="00CC45F9"/>
    <w:rsid w:val="00CD64B9"/>
    <w:rsid w:val="00CE1EAD"/>
    <w:rsid w:val="00CE79F8"/>
    <w:rsid w:val="00CE7BBE"/>
    <w:rsid w:val="00CF2EAB"/>
    <w:rsid w:val="00CF38ED"/>
    <w:rsid w:val="00CF6DE1"/>
    <w:rsid w:val="00CF7249"/>
    <w:rsid w:val="00D0169A"/>
    <w:rsid w:val="00D02BF3"/>
    <w:rsid w:val="00D14AD1"/>
    <w:rsid w:val="00D15111"/>
    <w:rsid w:val="00D20A98"/>
    <w:rsid w:val="00D23D1D"/>
    <w:rsid w:val="00D2416F"/>
    <w:rsid w:val="00D247A8"/>
    <w:rsid w:val="00D25709"/>
    <w:rsid w:val="00D271C6"/>
    <w:rsid w:val="00D327A2"/>
    <w:rsid w:val="00D40CC9"/>
    <w:rsid w:val="00D40E42"/>
    <w:rsid w:val="00D431DE"/>
    <w:rsid w:val="00D439C7"/>
    <w:rsid w:val="00D549B8"/>
    <w:rsid w:val="00D5555E"/>
    <w:rsid w:val="00D577E3"/>
    <w:rsid w:val="00D57809"/>
    <w:rsid w:val="00D64735"/>
    <w:rsid w:val="00D64F9F"/>
    <w:rsid w:val="00D6586B"/>
    <w:rsid w:val="00D6774C"/>
    <w:rsid w:val="00D70DAF"/>
    <w:rsid w:val="00D725A5"/>
    <w:rsid w:val="00D74105"/>
    <w:rsid w:val="00D746A2"/>
    <w:rsid w:val="00D8004B"/>
    <w:rsid w:val="00D8021C"/>
    <w:rsid w:val="00D81E7C"/>
    <w:rsid w:val="00D83A38"/>
    <w:rsid w:val="00D843FA"/>
    <w:rsid w:val="00D84C27"/>
    <w:rsid w:val="00D9357B"/>
    <w:rsid w:val="00DA39BC"/>
    <w:rsid w:val="00DA5FFE"/>
    <w:rsid w:val="00DB1446"/>
    <w:rsid w:val="00DC29AA"/>
    <w:rsid w:val="00DC3DB0"/>
    <w:rsid w:val="00DC4880"/>
    <w:rsid w:val="00DC4CA9"/>
    <w:rsid w:val="00DC6F1F"/>
    <w:rsid w:val="00DD1CC8"/>
    <w:rsid w:val="00DD45F5"/>
    <w:rsid w:val="00DE2CFF"/>
    <w:rsid w:val="00DE40A3"/>
    <w:rsid w:val="00DF1CA3"/>
    <w:rsid w:val="00DF500B"/>
    <w:rsid w:val="00E026B6"/>
    <w:rsid w:val="00E028AD"/>
    <w:rsid w:val="00E051EC"/>
    <w:rsid w:val="00E061CA"/>
    <w:rsid w:val="00E0670B"/>
    <w:rsid w:val="00E11E4D"/>
    <w:rsid w:val="00E1783D"/>
    <w:rsid w:val="00E26D37"/>
    <w:rsid w:val="00E3346A"/>
    <w:rsid w:val="00E37724"/>
    <w:rsid w:val="00E4248C"/>
    <w:rsid w:val="00E43F98"/>
    <w:rsid w:val="00E45672"/>
    <w:rsid w:val="00E467C6"/>
    <w:rsid w:val="00E507B7"/>
    <w:rsid w:val="00E60D20"/>
    <w:rsid w:val="00E66C2B"/>
    <w:rsid w:val="00E67235"/>
    <w:rsid w:val="00E70200"/>
    <w:rsid w:val="00E71F1F"/>
    <w:rsid w:val="00E73664"/>
    <w:rsid w:val="00E77603"/>
    <w:rsid w:val="00E802E9"/>
    <w:rsid w:val="00E81456"/>
    <w:rsid w:val="00E873B6"/>
    <w:rsid w:val="00E9285B"/>
    <w:rsid w:val="00E94B7A"/>
    <w:rsid w:val="00EA170A"/>
    <w:rsid w:val="00EA71BD"/>
    <w:rsid w:val="00EA72C1"/>
    <w:rsid w:val="00EB1449"/>
    <w:rsid w:val="00EB2A97"/>
    <w:rsid w:val="00EB44C0"/>
    <w:rsid w:val="00EB515B"/>
    <w:rsid w:val="00EC67FB"/>
    <w:rsid w:val="00ED073E"/>
    <w:rsid w:val="00ED2FCB"/>
    <w:rsid w:val="00ED3015"/>
    <w:rsid w:val="00ED6291"/>
    <w:rsid w:val="00ED6CBD"/>
    <w:rsid w:val="00EE573E"/>
    <w:rsid w:val="00EE6545"/>
    <w:rsid w:val="00EE76B8"/>
    <w:rsid w:val="00EE76EE"/>
    <w:rsid w:val="00EF07DD"/>
    <w:rsid w:val="00EF4419"/>
    <w:rsid w:val="00EF5C85"/>
    <w:rsid w:val="00F03077"/>
    <w:rsid w:val="00F133EB"/>
    <w:rsid w:val="00F151EE"/>
    <w:rsid w:val="00F15FBB"/>
    <w:rsid w:val="00F32398"/>
    <w:rsid w:val="00F376EE"/>
    <w:rsid w:val="00F37999"/>
    <w:rsid w:val="00F41827"/>
    <w:rsid w:val="00F465F3"/>
    <w:rsid w:val="00F46D26"/>
    <w:rsid w:val="00F5059D"/>
    <w:rsid w:val="00F53CB8"/>
    <w:rsid w:val="00F542C6"/>
    <w:rsid w:val="00F54BC2"/>
    <w:rsid w:val="00F57A25"/>
    <w:rsid w:val="00F61106"/>
    <w:rsid w:val="00F67273"/>
    <w:rsid w:val="00F67769"/>
    <w:rsid w:val="00F7516C"/>
    <w:rsid w:val="00F8193C"/>
    <w:rsid w:val="00F81AE1"/>
    <w:rsid w:val="00F86D28"/>
    <w:rsid w:val="00F91413"/>
    <w:rsid w:val="00F91C7D"/>
    <w:rsid w:val="00F9252C"/>
    <w:rsid w:val="00F95440"/>
    <w:rsid w:val="00FA3C9D"/>
    <w:rsid w:val="00FA5118"/>
    <w:rsid w:val="00FA7E5B"/>
    <w:rsid w:val="00FB2E5F"/>
    <w:rsid w:val="00FB4C0D"/>
    <w:rsid w:val="00FB7499"/>
    <w:rsid w:val="00FC0694"/>
    <w:rsid w:val="00FC1E2C"/>
    <w:rsid w:val="00FC6465"/>
    <w:rsid w:val="00FD2465"/>
    <w:rsid w:val="00FD3D09"/>
    <w:rsid w:val="00FD4DDF"/>
    <w:rsid w:val="00FD54FE"/>
    <w:rsid w:val="00FD668A"/>
    <w:rsid w:val="00FD7F39"/>
    <w:rsid w:val="00FE180A"/>
    <w:rsid w:val="00FE283D"/>
    <w:rsid w:val="00FE50E9"/>
    <w:rsid w:val="00FE6C72"/>
    <w:rsid w:val="00FF1523"/>
    <w:rsid w:val="00FF5A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966D10"/>
  <w15:docId w15:val="{AA939EB4-59D6-43AC-A413-10C23BF74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CF5"/>
    <w:rPr>
      <w:rFonts w:ascii="Garamond" w:hAnsi="Garamond"/>
      <w:sz w:val="24"/>
      <w:szCs w:val="22"/>
    </w:rPr>
  </w:style>
  <w:style w:type="paragraph" w:styleId="Heading1">
    <w:name w:val="heading 1"/>
    <w:basedOn w:val="Normal"/>
    <w:next w:val="Normal"/>
    <w:link w:val="Heading1Char"/>
    <w:uiPriority w:val="9"/>
    <w:qFormat/>
    <w:rsid w:val="00B94A7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612CF5"/>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autoRedefine/>
    <w:uiPriority w:val="9"/>
    <w:unhideWhenUsed/>
    <w:qFormat/>
    <w:rsid w:val="00612CF5"/>
    <w:pPr>
      <w:keepNext/>
      <w:keepLines/>
      <w:spacing w:before="40"/>
      <w:outlineLvl w:val="2"/>
    </w:pPr>
    <w:rPr>
      <w:rFonts w:asciiTheme="majorHAnsi" w:eastAsiaTheme="majorEastAsia" w:hAnsiTheme="majorHAnsi" w:cstheme="majorBidi"/>
      <w:color w:val="365F91"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7F370D"/>
    <w:pPr>
      <w:ind w:left="720"/>
      <w:contextualSpacing/>
    </w:pPr>
  </w:style>
  <w:style w:type="paragraph" w:styleId="Header">
    <w:name w:val="header"/>
    <w:basedOn w:val="Normal"/>
    <w:link w:val="HeaderChar"/>
    <w:uiPriority w:val="99"/>
    <w:unhideWhenUsed/>
    <w:rsid w:val="00924EEB"/>
    <w:pPr>
      <w:tabs>
        <w:tab w:val="center" w:pos="4680"/>
        <w:tab w:val="right" w:pos="9360"/>
      </w:tabs>
    </w:pPr>
  </w:style>
  <w:style w:type="character" w:customStyle="1" w:styleId="HeaderChar">
    <w:name w:val="Header Char"/>
    <w:basedOn w:val="DefaultParagraphFont"/>
    <w:link w:val="Header"/>
    <w:uiPriority w:val="99"/>
    <w:rsid w:val="00924EEB"/>
    <w:rPr>
      <w:sz w:val="22"/>
      <w:szCs w:val="22"/>
    </w:rPr>
  </w:style>
  <w:style w:type="paragraph" w:styleId="Footer">
    <w:name w:val="footer"/>
    <w:basedOn w:val="Normal"/>
    <w:link w:val="FooterChar"/>
    <w:uiPriority w:val="99"/>
    <w:unhideWhenUsed/>
    <w:rsid w:val="00924EEB"/>
    <w:pPr>
      <w:tabs>
        <w:tab w:val="center" w:pos="4680"/>
        <w:tab w:val="right" w:pos="9360"/>
      </w:tabs>
    </w:pPr>
  </w:style>
  <w:style w:type="character" w:customStyle="1" w:styleId="FooterChar">
    <w:name w:val="Footer Char"/>
    <w:basedOn w:val="DefaultParagraphFont"/>
    <w:link w:val="Footer"/>
    <w:uiPriority w:val="99"/>
    <w:rsid w:val="00924EEB"/>
    <w:rPr>
      <w:sz w:val="22"/>
      <w:szCs w:val="22"/>
    </w:rPr>
  </w:style>
  <w:style w:type="character" w:customStyle="1" w:styleId="Heading1Char">
    <w:name w:val="Heading 1 Char"/>
    <w:basedOn w:val="DefaultParagraphFont"/>
    <w:link w:val="Heading1"/>
    <w:uiPriority w:val="9"/>
    <w:rsid w:val="00B94A7A"/>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136128"/>
    <w:rPr>
      <w:rFonts w:asciiTheme="majorHAnsi" w:eastAsiaTheme="majorEastAsia" w:hAnsiTheme="majorHAnsi" w:cstheme="majorBidi"/>
      <w:color w:val="365F91" w:themeColor="accent1" w:themeShade="BF"/>
      <w:sz w:val="26"/>
      <w:szCs w:val="26"/>
    </w:rPr>
  </w:style>
  <w:style w:type="paragraph" w:styleId="TOCHeading">
    <w:name w:val="TOC Heading"/>
    <w:basedOn w:val="Heading1"/>
    <w:next w:val="Normal"/>
    <w:uiPriority w:val="39"/>
    <w:unhideWhenUsed/>
    <w:qFormat/>
    <w:rsid w:val="008C70E7"/>
    <w:pPr>
      <w:spacing w:line="259" w:lineRule="auto"/>
      <w:outlineLvl w:val="9"/>
    </w:pPr>
  </w:style>
  <w:style w:type="paragraph" w:styleId="TOC1">
    <w:name w:val="toc 1"/>
    <w:basedOn w:val="Normal"/>
    <w:next w:val="Normal"/>
    <w:autoRedefine/>
    <w:uiPriority w:val="39"/>
    <w:unhideWhenUsed/>
    <w:rsid w:val="00110ED7"/>
    <w:pPr>
      <w:tabs>
        <w:tab w:val="right" w:leader="dot" w:pos="9350"/>
      </w:tabs>
      <w:spacing w:after="100"/>
    </w:pPr>
  </w:style>
  <w:style w:type="character" w:styleId="Hyperlink">
    <w:name w:val="Hyperlink"/>
    <w:basedOn w:val="DefaultParagraphFont"/>
    <w:uiPriority w:val="99"/>
    <w:unhideWhenUsed/>
    <w:rsid w:val="008C70E7"/>
    <w:rPr>
      <w:color w:val="0000FF" w:themeColor="hyperlink"/>
      <w:u w:val="single"/>
    </w:rPr>
  </w:style>
  <w:style w:type="character" w:styleId="UnresolvedMention">
    <w:name w:val="Unresolved Mention"/>
    <w:basedOn w:val="DefaultParagraphFont"/>
    <w:uiPriority w:val="99"/>
    <w:semiHidden/>
    <w:unhideWhenUsed/>
    <w:rsid w:val="00F57A25"/>
    <w:rPr>
      <w:color w:val="605E5C"/>
      <w:shd w:val="clear" w:color="auto" w:fill="E1DFDD"/>
    </w:rPr>
  </w:style>
  <w:style w:type="paragraph" w:styleId="TOC2">
    <w:name w:val="toc 2"/>
    <w:basedOn w:val="Normal"/>
    <w:next w:val="Normal"/>
    <w:autoRedefine/>
    <w:uiPriority w:val="39"/>
    <w:unhideWhenUsed/>
    <w:rsid w:val="00E507B7"/>
    <w:pPr>
      <w:spacing w:after="100"/>
      <w:ind w:left="220"/>
    </w:pPr>
  </w:style>
  <w:style w:type="paragraph" w:styleId="Revision">
    <w:name w:val="Revision"/>
    <w:hidden/>
    <w:uiPriority w:val="99"/>
    <w:semiHidden/>
    <w:rsid w:val="00FE50E9"/>
    <w:rPr>
      <w:sz w:val="22"/>
      <w:szCs w:val="22"/>
    </w:rPr>
  </w:style>
  <w:style w:type="character" w:styleId="CommentReference">
    <w:name w:val="annotation reference"/>
    <w:basedOn w:val="DefaultParagraphFont"/>
    <w:uiPriority w:val="99"/>
    <w:semiHidden/>
    <w:unhideWhenUsed/>
    <w:rsid w:val="00C10ACC"/>
    <w:rPr>
      <w:sz w:val="16"/>
      <w:szCs w:val="16"/>
    </w:rPr>
  </w:style>
  <w:style w:type="paragraph" w:styleId="CommentText">
    <w:name w:val="annotation text"/>
    <w:basedOn w:val="Normal"/>
    <w:link w:val="CommentTextChar"/>
    <w:uiPriority w:val="99"/>
    <w:unhideWhenUsed/>
    <w:rsid w:val="00C10ACC"/>
    <w:rPr>
      <w:sz w:val="20"/>
      <w:szCs w:val="20"/>
    </w:rPr>
  </w:style>
  <w:style w:type="character" w:customStyle="1" w:styleId="CommentTextChar">
    <w:name w:val="Comment Text Char"/>
    <w:basedOn w:val="DefaultParagraphFont"/>
    <w:link w:val="CommentText"/>
    <w:uiPriority w:val="99"/>
    <w:rsid w:val="00C10ACC"/>
  </w:style>
  <w:style w:type="paragraph" w:styleId="CommentSubject">
    <w:name w:val="annotation subject"/>
    <w:basedOn w:val="CommentText"/>
    <w:next w:val="CommentText"/>
    <w:link w:val="CommentSubjectChar"/>
    <w:uiPriority w:val="99"/>
    <w:semiHidden/>
    <w:unhideWhenUsed/>
    <w:rsid w:val="00C10ACC"/>
    <w:rPr>
      <w:b/>
      <w:bCs/>
    </w:rPr>
  </w:style>
  <w:style w:type="character" w:customStyle="1" w:styleId="CommentSubjectChar">
    <w:name w:val="Comment Subject Char"/>
    <w:basedOn w:val="CommentTextChar"/>
    <w:link w:val="CommentSubject"/>
    <w:uiPriority w:val="99"/>
    <w:semiHidden/>
    <w:rsid w:val="00C10ACC"/>
    <w:rPr>
      <w:b/>
      <w:bCs/>
    </w:rPr>
  </w:style>
  <w:style w:type="character" w:customStyle="1" w:styleId="Heading3Char">
    <w:name w:val="Heading 3 Char"/>
    <w:basedOn w:val="DefaultParagraphFont"/>
    <w:link w:val="Heading3"/>
    <w:uiPriority w:val="9"/>
    <w:rsid w:val="00612CF5"/>
    <w:rPr>
      <w:rFonts w:asciiTheme="majorHAnsi" w:eastAsiaTheme="majorEastAsia" w:hAnsiTheme="majorHAnsi" w:cstheme="majorBidi"/>
      <w:color w:val="365F91" w:themeColor="accent1" w:themeShade="BF"/>
      <w:sz w:val="24"/>
      <w:szCs w:val="24"/>
    </w:rPr>
  </w:style>
  <w:style w:type="paragraph" w:styleId="BodyText">
    <w:name w:val="Body Text"/>
    <w:basedOn w:val="Normal"/>
    <w:link w:val="BodyTextChar"/>
    <w:uiPriority w:val="1"/>
    <w:qFormat/>
    <w:rsid w:val="00612CF5"/>
    <w:pPr>
      <w:widowControl w:val="0"/>
      <w:autoSpaceDE w:val="0"/>
      <w:autoSpaceDN w:val="0"/>
    </w:pPr>
    <w:rPr>
      <w:rFonts w:eastAsia="Calibri" w:cs="Calibri"/>
      <w:szCs w:val="24"/>
    </w:rPr>
  </w:style>
  <w:style w:type="character" w:customStyle="1" w:styleId="BodyTextChar">
    <w:name w:val="Body Text Char"/>
    <w:basedOn w:val="DefaultParagraphFont"/>
    <w:link w:val="BodyText"/>
    <w:uiPriority w:val="1"/>
    <w:rsid w:val="00612CF5"/>
    <w:rPr>
      <w:rFonts w:eastAsia="Calibri" w:cs="Calibri"/>
      <w:sz w:val="24"/>
      <w:szCs w:val="24"/>
    </w:rPr>
  </w:style>
  <w:style w:type="paragraph" w:styleId="TOC3">
    <w:name w:val="toc 3"/>
    <w:basedOn w:val="Normal"/>
    <w:next w:val="Normal"/>
    <w:autoRedefine/>
    <w:uiPriority w:val="39"/>
    <w:unhideWhenUsed/>
    <w:rsid w:val="00D70DAF"/>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955326">
      <w:bodyDiv w:val="1"/>
      <w:marLeft w:val="0"/>
      <w:marRight w:val="0"/>
      <w:marTop w:val="0"/>
      <w:marBottom w:val="0"/>
      <w:divBdr>
        <w:top w:val="none" w:sz="0" w:space="0" w:color="auto"/>
        <w:left w:val="none" w:sz="0" w:space="0" w:color="auto"/>
        <w:bottom w:val="none" w:sz="0" w:space="0" w:color="auto"/>
        <w:right w:val="none" w:sz="0" w:space="0" w:color="auto"/>
      </w:divBdr>
    </w:div>
    <w:div w:id="646472046">
      <w:bodyDiv w:val="1"/>
      <w:marLeft w:val="0"/>
      <w:marRight w:val="0"/>
      <w:marTop w:val="0"/>
      <w:marBottom w:val="0"/>
      <w:divBdr>
        <w:top w:val="none" w:sz="0" w:space="0" w:color="auto"/>
        <w:left w:val="none" w:sz="0" w:space="0" w:color="auto"/>
        <w:bottom w:val="none" w:sz="0" w:space="0" w:color="auto"/>
        <w:right w:val="none" w:sz="0" w:space="0" w:color="auto"/>
      </w:divBdr>
    </w:div>
    <w:div w:id="1497721008">
      <w:bodyDiv w:val="1"/>
      <w:marLeft w:val="0"/>
      <w:marRight w:val="0"/>
      <w:marTop w:val="0"/>
      <w:marBottom w:val="0"/>
      <w:divBdr>
        <w:top w:val="none" w:sz="0" w:space="0" w:color="auto"/>
        <w:left w:val="none" w:sz="0" w:space="0" w:color="auto"/>
        <w:bottom w:val="none" w:sz="0" w:space="0" w:color="auto"/>
        <w:right w:val="none" w:sz="0" w:space="0" w:color="auto"/>
      </w:divBdr>
    </w:div>
    <w:div w:id="1861240676">
      <w:bodyDiv w:val="1"/>
      <w:marLeft w:val="0"/>
      <w:marRight w:val="0"/>
      <w:marTop w:val="0"/>
      <w:marBottom w:val="0"/>
      <w:divBdr>
        <w:top w:val="none" w:sz="0" w:space="0" w:color="auto"/>
        <w:left w:val="none" w:sz="0" w:space="0" w:color="auto"/>
        <w:bottom w:val="none" w:sz="0" w:space="0" w:color="auto"/>
        <w:right w:val="none" w:sz="0" w:space="0" w:color="auto"/>
      </w:divBdr>
    </w:div>
    <w:div w:id="2023623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dviserinfo.sec.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dviserinfo.sec.gov" TargetMode="External"/><Relationship Id="rId5" Type="http://schemas.openxmlformats.org/officeDocument/2006/relationships/footnotes" Target="footnotes.xml"/><Relationship Id="rId10" Type="http://schemas.openxmlformats.org/officeDocument/2006/relationships/hyperlink" Target="http://www.CFP.net/" TargetMode="External"/><Relationship Id="rId4" Type="http://schemas.openxmlformats.org/officeDocument/2006/relationships/webSettings" Target="webSettings.xml"/><Relationship Id="rId9" Type="http://schemas.openxmlformats.org/officeDocument/2006/relationships/hyperlink" Target="http://www.adviserinfo.se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24</Pages>
  <Words>6293</Words>
  <Characters>36555</Characters>
  <Application>Microsoft Office Word</Application>
  <DocSecurity>0</DocSecurity>
  <Lines>971</Lines>
  <Paragraphs>308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Cory</dc:creator>
  <cp:lastModifiedBy>John  Robinson</cp:lastModifiedBy>
  <cp:revision>5</cp:revision>
  <cp:lastPrinted>2016-03-11T19:55:00Z</cp:lastPrinted>
  <dcterms:created xsi:type="dcterms:W3CDTF">2025-09-07T19:44:00Z</dcterms:created>
  <dcterms:modified xsi:type="dcterms:W3CDTF">2025-09-25T04:49:00Z</dcterms:modified>
</cp:coreProperties>
</file>