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F434" w14:textId="77777777" w:rsidR="00D6022B" w:rsidRDefault="00D6022B" w:rsidP="00D6022B">
      <w:pPr>
        <w:jc w:val="center"/>
      </w:pPr>
      <w:bookmarkStart w:id="0" w:name="_hav0ib9iaod3" w:colFirst="0" w:colLast="0"/>
      <w:bookmarkEnd w:id="0"/>
    </w:p>
    <w:p w14:paraId="1EF0C19D" w14:textId="16654C60" w:rsidR="00D6022B" w:rsidRPr="009A3101" w:rsidRDefault="009A3101" w:rsidP="00D6022B">
      <w:pPr>
        <w:jc w:val="center"/>
        <w:rPr>
          <w:b/>
          <w:bCs/>
          <w:sz w:val="28"/>
          <w:szCs w:val="28"/>
        </w:rPr>
      </w:pPr>
      <w:r>
        <w:rPr>
          <w:b/>
          <w:bCs/>
          <w:sz w:val="28"/>
          <w:szCs w:val="28"/>
        </w:rPr>
        <w:t xml:space="preserve">Financial Planning &amp; </w:t>
      </w:r>
      <w:r w:rsidR="00D6022B" w:rsidRPr="009A3101">
        <w:rPr>
          <w:b/>
          <w:bCs/>
          <w:sz w:val="28"/>
          <w:szCs w:val="28"/>
        </w:rPr>
        <w:t xml:space="preserve">Investment </w:t>
      </w:r>
      <w:r w:rsidR="00EA3400" w:rsidRPr="009A3101">
        <w:rPr>
          <w:b/>
          <w:bCs/>
          <w:sz w:val="28"/>
          <w:szCs w:val="28"/>
        </w:rPr>
        <w:t>Advisory</w:t>
      </w:r>
      <w:r w:rsidR="00D6022B" w:rsidRPr="009A3101">
        <w:rPr>
          <w:b/>
          <w:bCs/>
          <w:sz w:val="28"/>
          <w:szCs w:val="28"/>
        </w:rPr>
        <w:t xml:space="preserve"> Agreement</w:t>
      </w:r>
    </w:p>
    <w:p w14:paraId="7805204E" w14:textId="77777777" w:rsidR="006B1895" w:rsidRPr="00BF650B" w:rsidRDefault="006B1895" w:rsidP="006B1895">
      <w:pPr>
        <w:autoSpaceDE w:val="0"/>
        <w:autoSpaceDN w:val="0"/>
        <w:adjustRightInd w:val="0"/>
        <w:spacing w:after="0" w:line="240" w:lineRule="auto"/>
        <w:rPr>
          <w:rFonts w:ascii="Tw Cen MT" w:hAnsi="Tw Cen MT" w:cs="Tw Cen MT"/>
          <w:color w:val="000000"/>
        </w:rPr>
      </w:pPr>
    </w:p>
    <w:p w14:paraId="51F2B7AB" w14:textId="6DE355E8" w:rsidR="00D77EA4" w:rsidRPr="00BF650B" w:rsidRDefault="006B1895" w:rsidP="00D24192">
      <w:pPr>
        <w:autoSpaceDE w:val="0"/>
        <w:autoSpaceDN w:val="0"/>
        <w:adjustRightInd w:val="0"/>
        <w:spacing w:after="0" w:line="240" w:lineRule="auto"/>
      </w:pPr>
      <w:r w:rsidRPr="00BF650B">
        <w:rPr>
          <w:rFonts w:ascii="Tw Cen MT" w:hAnsi="Tw Cen MT" w:cs="Tw Cen MT"/>
          <w:color w:val="000000"/>
        </w:rPr>
        <w:t xml:space="preserve">This investment </w:t>
      </w:r>
      <w:r w:rsidR="00EA3400">
        <w:rPr>
          <w:rFonts w:ascii="Tw Cen MT" w:hAnsi="Tw Cen MT" w:cs="Tw Cen MT"/>
          <w:color w:val="000000"/>
        </w:rPr>
        <w:t>Advisory</w:t>
      </w:r>
      <w:r w:rsidRPr="00BF650B">
        <w:rPr>
          <w:rFonts w:ascii="Tw Cen MT" w:hAnsi="Tw Cen MT" w:cs="Tw Cen MT"/>
          <w:color w:val="000000"/>
        </w:rPr>
        <w:t xml:space="preserve"> agreement is between </w:t>
      </w:r>
      <w:r w:rsidR="007B4125">
        <w:rPr>
          <w:rFonts w:ascii="Tw Cen MT" w:hAnsi="Tw Cen MT" w:cs="Tw Cen MT"/>
          <w:color w:val="000000"/>
        </w:rPr>
        <w:t xml:space="preserve">Financial Planning Hawaii, Inc. </w:t>
      </w:r>
      <w:r w:rsidRPr="00BF650B">
        <w:rPr>
          <w:rFonts w:ascii="Tw Cen MT" w:hAnsi="Tw Cen MT" w:cs="Tw Cen MT"/>
          <w:color w:val="000000"/>
        </w:rPr>
        <w:t>(“</w:t>
      </w:r>
      <w:r w:rsidR="00003DBB" w:rsidRPr="00BF650B">
        <w:rPr>
          <w:rFonts w:ascii="Tw Cen MT" w:hAnsi="Tw Cen MT" w:cs="Tw Cen MT"/>
          <w:color w:val="000000"/>
        </w:rPr>
        <w:t>Advis</w:t>
      </w:r>
      <w:r w:rsidR="00003DBB">
        <w:rPr>
          <w:rFonts w:ascii="Tw Cen MT" w:hAnsi="Tw Cen MT" w:cs="Tw Cen MT"/>
          <w:color w:val="000000"/>
        </w:rPr>
        <w:t>e</w:t>
      </w:r>
      <w:r w:rsidR="00003DBB" w:rsidRPr="00BF650B">
        <w:rPr>
          <w:rFonts w:ascii="Tw Cen MT" w:hAnsi="Tw Cen MT" w:cs="Tw Cen MT"/>
          <w:color w:val="000000"/>
        </w:rPr>
        <w:t>r</w:t>
      </w:r>
      <w:r w:rsidRPr="00BF650B">
        <w:rPr>
          <w:rFonts w:ascii="Tw Cen MT" w:hAnsi="Tw Cen MT" w:cs="Tw Cen MT"/>
          <w:color w:val="000000"/>
        </w:rPr>
        <w:t xml:space="preserve">”), </w:t>
      </w:r>
      <w:r w:rsidR="00D62010">
        <w:rPr>
          <w:rFonts w:ascii="Tw Cen MT" w:hAnsi="Tw Cen MT" w:cs="Tw Cen MT"/>
          <w:color w:val="000000"/>
        </w:rPr>
        <w:t xml:space="preserve">a </w:t>
      </w:r>
      <w:r w:rsidR="006F06DF">
        <w:rPr>
          <w:rFonts w:ascii="Tw Cen MT" w:hAnsi="Tw Cen MT" w:cs="Tw Cen MT"/>
          <w:color w:val="000000"/>
        </w:rPr>
        <w:t>Hawaii corporation</w:t>
      </w:r>
      <w:r w:rsidR="00BF650B">
        <w:rPr>
          <w:rFonts w:ascii="Tw Cen MT" w:hAnsi="Tw Cen MT" w:cs="Tw Cen MT"/>
          <w:color w:val="000000"/>
        </w:rPr>
        <w:t xml:space="preserve">, </w:t>
      </w:r>
      <w:r w:rsidRPr="00BF650B">
        <w:rPr>
          <w:rFonts w:ascii="Tw Cen MT" w:hAnsi="Tw Cen MT" w:cs="Tw Cen MT"/>
          <w:color w:val="000000"/>
        </w:rPr>
        <w:t xml:space="preserve">registered as an investment </w:t>
      </w:r>
      <w:r w:rsidR="00EA3400">
        <w:rPr>
          <w:rFonts w:ascii="Tw Cen MT" w:hAnsi="Tw Cen MT" w:cs="Tw Cen MT"/>
          <w:color w:val="000000"/>
        </w:rPr>
        <w:t>Adviser</w:t>
      </w:r>
      <w:r w:rsidRPr="00BF650B">
        <w:rPr>
          <w:rFonts w:ascii="Tw Cen MT" w:hAnsi="Tw Cen MT" w:cs="Tw Cen MT"/>
          <w:color w:val="000000"/>
        </w:rPr>
        <w:t xml:space="preserve"> with </w:t>
      </w:r>
      <w:r w:rsidR="0044430D">
        <w:rPr>
          <w:rFonts w:ascii="Tw Cen MT" w:hAnsi="Tw Cen MT" w:cs="Tw Cen MT"/>
          <w:color w:val="000000"/>
        </w:rPr>
        <w:t xml:space="preserve">its principal office located in </w:t>
      </w:r>
      <w:r w:rsidR="006F06DF">
        <w:rPr>
          <w:rFonts w:ascii="Tw Cen MT" w:hAnsi="Tw Cen MT" w:cs="Tw Cen MT"/>
          <w:color w:val="000000"/>
        </w:rPr>
        <w:t>the state of Hawaii</w:t>
      </w:r>
      <w:r w:rsidRPr="00BF650B">
        <w:rPr>
          <w:rFonts w:ascii="Tw Cen MT" w:hAnsi="Tw Cen MT" w:cs="Tw Cen MT"/>
          <w:color w:val="000000"/>
        </w:rPr>
        <w:t xml:space="preserve"> and </w:t>
      </w:r>
      <w:r w:rsidR="000B1058" w:rsidRPr="00BF650B">
        <w:rPr>
          <w:rFonts w:ascii="Tw Cen MT" w:hAnsi="Tw Cen MT" w:cs="Tw Cen MT"/>
          <w:color w:val="000000"/>
        </w:rPr>
        <w:t>you (“Client”).</w:t>
      </w:r>
      <w:r w:rsidRPr="00BF650B">
        <w:rPr>
          <w:rFonts w:ascii="Tw Cen MT" w:hAnsi="Tw Cen MT" w:cs="Tw Cen MT"/>
          <w:color w:val="000000"/>
        </w:rPr>
        <w:t xml:space="preserve"> </w:t>
      </w:r>
    </w:p>
    <w:p w14:paraId="62429B5B" w14:textId="77777777" w:rsidR="006450D4" w:rsidRPr="00BF650B" w:rsidRDefault="006450D4" w:rsidP="006B1895"/>
    <w:p w14:paraId="2F9C30C8" w14:textId="2E82789F" w:rsidR="00191518" w:rsidRPr="00BF650B" w:rsidRDefault="00873CA1" w:rsidP="00873CA1">
      <w:pPr>
        <w:pStyle w:val="Heading2"/>
      </w:pPr>
      <w:r w:rsidRPr="00021BD1">
        <w:t>Section 1 – Services and Fees</w:t>
      </w:r>
    </w:p>
    <w:p w14:paraId="06118439" w14:textId="38E69E88" w:rsidR="00B86752" w:rsidRPr="00B86752" w:rsidRDefault="00D10335" w:rsidP="00B86752">
      <w:pPr>
        <w:rPr>
          <w:rFonts w:ascii="Tw Cen MT" w:hAnsi="Tw Cen MT" w:cs="Calibri"/>
        </w:rPr>
      </w:pPr>
      <w:bookmarkStart w:id="1" w:name="_Hlk204949329"/>
      <w:r>
        <w:rPr>
          <w:rFonts w:ascii="Tw Cen MT" w:hAnsi="Tw Cen MT" w:cs="Calibri"/>
        </w:rPr>
        <w:t xml:space="preserve">The </w:t>
      </w:r>
      <w:r w:rsidR="006C14A8">
        <w:rPr>
          <w:rFonts w:ascii="Tw Cen MT" w:hAnsi="Tw Cen MT" w:cs="Calibri"/>
        </w:rPr>
        <w:t xml:space="preserve">Adviser </w:t>
      </w:r>
      <w:r>
        <w:rPr>
          <w:rFonts w:ascii="Tw Cen MT" w:hAnsi="Tw Cen MT" w:cs="Calibri"/>
        </w:rPr>
        <w:t xml:space="preserve">will provide discretionary investment management for one or more accounts that are </w:t>
      </w:r>
      <w:r w:rsidR="00F74EC7" w:rsidRPr="00BF650B">
        <w:rPr>
          <w:rFonts w:ascii="Tw Cen MT" w:hAnsi="Tw Cen MT" w:cs="Calibri"/>
        </w:rPr>
        <w:t xml:space="preserve">established, or that will be established, by </w:t>
      </w:r>
      <w:r w:rsidRPr="00BF650B">
        <w:rPr>
          <w:rFonts w:ascii="Tw Cen MT" w:hAnsi="Tw Cen MT" w:cs="Calibri"/>
        </w:rPr>
        <w:t>the Client</w:t>
      </w:r>
      <w:r w:rsidR="00F74EC7" w:rsidRPr="00BF650B">
        <w:rPr>
          <w:rFonts w:ascii="Tw Cen MT" w:hAnsi="Tw Cen MT" w:cs="Calibri"/>
        </w:rPr>
        <w:t xml:space="preserve">. Unless otherwise specified in this Agreement, </w:t>
      </w:r>
      <w:r w:rsidR="00914FF7" w:rsidRPr="00BF650B">
        <w:rPr>
          <w:rFonts w:ascii="Tw Cen MT" w:hAnsi="Tw Cen MT" w:cs="Calibri"/>
        </w:rPr>
        <w:t>the Client</w:t>
      </w:r>
      <w:r w:rsidR="00F74EC7" w:rsidRPr="00BF650B">
        <w:rPr>
          <w:rFonts w:ascii="Tw Cen MT" w:hAnsi="Tw Cen MT" w:cs="Calibri"/>
        </w:rPr>
        <w:t xml:space="preserve"> agrees that no additional or separate agreement will be required to be executed in the event of any addition or subtraction of new accounts and account information, provided Client has ownership over such account.</w:t>
      </w:r>
      <w:r w:rsidR="00B86752">
        <w:rPr>
          <w:rFonts w:ascii="Tw Cen MT" w:hAnsi="Tw Cen MT" w:cs="Calibri"/>
        </w:rPr>
        <w:t xml:space="preserve"> </w:t>
      </w:r>
    </w:p>
    <w:p w14:paraId="52282296" w14:textId="4CCDCF0B" w:rsidR="0077444A" w:rsidRDefault="005045C2" w:rsidP="00C37192">
      <w:pPr>
        <w:rPr>
          <w:rFonts w:ascii="Tw Cen MT" w:hAnsi="Tw Cen MT"/>
        </w:rPr>
      </w:pPr>
      <w:r>
        <w:rPr>
          <w:rFonts w:ascii="Tw Cen MT" w:hAnsi="Tw Cen MT"/>
        </w:rPr>
        <w:t xml:space="preserve">The fees for investment management services are located in Appendix A of this Agreement. </w:t>
      </w:r>
      <w:r w:rsidR="00394751">
        <w:rPr>
          <w:rFonts w:ascii="Tw Cen MT" w:hAnsi="Tw Cen MT"/>
        </w:rPr>
        <w:t>Investment management fees include comprehensive financial planning guidance</w:t>
      </w:r>
      <w:r w:rsidR="0077444A">
        <w:rPr>
          <w:rFonts w:ascii="Tw Cen MT" w:hAnsi="Tw Cen MT"/>
        </w:rPr>
        <w:t xml:space="preserve"> as mutually agreed upon between the Client and the </w:t>
      </w:r>
      <w:r w:rsidR="006C14A8">
        <w:rPr>
          <w:rFonts w:ascii="Tw Cen MT" w:hAnsi="Tw Cen MT"/>
        </w:rPr>
        <w:t>Adviser</w:t>
      </w:r>
      <w:r w:rsidR="0077444A">
        <w:rPr>
          <w:rFonts w:ascii="Tw Cen MT" w:hAnsi="Tw Cen MT"/>
        </w:rPr>
        <w:t xml:space="preserve">. </w:t>
      </w:r>
      <w:r w:rsidR="00581AB0">
        <w:rPr>
          <w:rFonts w:ascii="Tw Cen MT" w:hAnsi="Tw Cen MT"/>
        </w:rPr>
        <w:t>Financial planning services include</w:t>
      </w:r>
      <w:r w:rsidR="002B76EB" w:rsidRPr="002B76EB">
        <w:rPr>
          <w:rFonts w:ascii="Tw Cen MT" w:hAnsi="Tw Cen MT"/>
        </w:rPr>
        <w:t xml:space="preserve"> unlimited access to eMoney. While there is no obligation for clients to use this service, eMoney is a platform that enables users to centralize, organize, monitor, and maintain all aspects of their financial lives. It is the primary tool </w:t>
      </w:r>
      <w:r w:rsidR="002B76EB">
        <w:rPr>
          <w:rFonts w:ascii="Tw Cen MT" w:hAnsi="Tw Cen MT"/>
        </w:rPr>
        <w:t xml:space="preserve">the </w:t>
      </w:r>
      <w:r w:rsidR="00EA3400">
        <w:rPr>
          <w:rFonts w:ascii="Tw Cen MT" w:hAnsi="Tw Cen MT"/>
        </w:rPr>
        <w:t>Adviser</w:t>
      </w:r>
      <w:r w:rsidR="002B76EB" w:rsidRPr="002B76EB">
        <w:rPr>
          <w:rFonts w:ascii="Tw Cen MT" w:hAnsi="Tw Cen MT"/>
        </w:rPr>
        <w:t xml:space="preserve"> uses to gather and review important non-investment planning information</w:t>
      </w:r>
      <w:r w:rsidR="002B76EB">
        <w:rPr>
          <w:rFonts w:ascii="Tw Cen MT" w:hAnsi="Tw Cen MT"/>
        </w:rPr>
        <w:t xml:space="preserve"> i</w:t>
      </w:r>
      <w:r w:rsidR="002B76EB" w:rsidRPr="002B76EB">
        <w:rPr>
          <w:rFonts w:ascii="Tw Cen MT" w:hAnsi="Tw Cen MT"/>
        </w:rPr>
        <w:t xml:space="preserve">ncluding beneficiary designations, asset </w:t>
      </w:r>
      <w:r w:rsidR="00581AB0" w:rsidRPr="002B76EB">
        <w:rPr>
          <w:rFonts w:ascii="Tw Cen MT" w:hAnsi="Tw Cen MT"/>
        </w:rPr>
        <w:t>registrations,</w:t>
      </w:r>
      <w:r w:rsidR="002B76EB" w:rsidRPr="002B76EB">
        <w:rPr>
          <w:rFonts w:ascii="Tw Cen MT" w:hAnsi="Tw Cen MT"/>
        </w:rPr>
        <w:t xml:space="preserve"> insurance, estate, and tax planning documents. eMoney is also the primary tool </w:t>
      </w:r>
      <w:r w:rsidR="002B76EB">
        <w:rPr>
          <w:rFonts w:ascii="Tw Cen MT" w:hAnsi="Tw Cen MT"/>
        </w:rPr>
        <w:t xml:space="preserve">the </w:t>
      </w:r>
      <w:r w:rsidR="00EA3400">
        <w:rPr>
          <w:rFonts w:ascii="Tw Cen MT" w:hAnsi="Tw Cen MT"/>
        </w:rPr>
        <w:t>Adviser</w:t>
      </w:r>
      <w:r w:rsidR="002B76EB" w:rsidRPr="002B76EB">
        <w:rPr>
          <w:rFonts w:ascii="Tw Cen MT" w:hAnsi="Tw Cen MT"/>
        </w:rPr>
        <w:t xml:space="preserve"> employs to give clients an overview of their asset allocations, assets and liabilities, and net worth.</w:t>
      </w:r>
    </w:p>
    <w:p w14:paraId="5E581E45" w14:textId="64A214FB" w:rsidR="00C37192" w:rsidRPr="00D223C6" w:rsidRDefault="00520F1D" w:rsidP="00C37192">
      <w:pPr>
        <w:rPr>
          <w:rFonts w:ascii="Tw Cen MT" w:hAnsi="Tw Cen MT"/>
        </w:rPr>
      </w:pPr>
      <w:r>
        <w:rPr>
          <w:rFonts w:ascii="Tw Cen MT" w:hAnsi="Tw Cen MT"/>
        </w:rPr>
        <w:t xml:space="preserve">The </w:t>
      </w:r>
      <w:r w:rsidRPr="00520F1D">
        <w:rPr>
          <w:rFonts w:ascii="Tw Cen MT" w:hAnsi="Tw Cen MT"/>
        </w:rPr>
        <w:t xml:space="preserve">Client authorizes </w:t>
      </w:r>
      <w:r>
        <w:rPr>
          <w:rFonts w:ascii="Tw Cen MT" w:hAnsi="Tw Cen MT"/>
        </w:rPr>
        <w:t xml:space="preserve">the </w:t>
      </w:r>
      <w:r w:rsidR="00EA3400">
        <w:rPr>
          <w:rFonts w:ascii="Tw Cen MT" w:hAnsi="Tw Cen MT"/>
        </w:rPr>
        <w:t>Adviser</w:t>
      </w:r>
      <w:r>
        <w:rPr>
          <w:rFonts w:ascii="Tw Cen MT" w:hAnsi="Tw Cen MT"/>
        </w:rPr>
        <w:t xml:space="preserve"> </w:t>
      </w:r>
      <w:r w:rsidRPr="00520F1D">
        <w:rPr>
          <w:rFonts w:ascii="Tw Cen MT" w:hAnsi="Tw Cen MT"/>
        </w:rPr>
        <w:t xml:space="preserve">to calculate and deduct the management fee from </w:t>
      </w:r>
      <w:r>
        <w:rPr>
          <w:rFonts w:ascii="Tw Cen MT" w:hAnsi="Tw Cen MT"/>
        </w:rPr>
        <w:t xml:space="preserve">one or more </w:t>
      </w:r>
      <w:r w:rsidRPr="00520F1D">
        <w:rPr>
          <w:rFonts w:ascii="Tw Cen MT" w:hAnsi="Tw Cen MT"/>
        </w:rPr>
        <w:t>Account</w:t>
      </w:r>
      <w:r w:rsidR="002433AF">
        <w:rPr>
          <w:rFonts w:ascii="Tw Cen MT" w:hAnsi="Tw Cen MT"/>
        </w:rPr>
        <w:t>s under this Agreement</w:t>
      </w:r>
      <w:r w:rsidRPr="00520F1D">
        <w:rPr>
          <w:rFonts w:ascii="Tw Cen MT" w:hAnsi="Tw Cen MT"/>
        </w:rPr>
        <w:t xml:space="preserve">. </w:t>
      </w:r>
      <w:r w:rsidR="00E42F57" w:rsidRPr="005264F3">
        <w:rPr>
          <w:rFonts w:ascii="Tw Cen MT" w:hAnsi="Tw Cen MT"/>
        </w:rPr>
        <w:t xml:space="preserve">Any commissions and transaction fees </w:t>
      </w:r>
      <w:r w:rsidR="005A57E7" w:rsidRPr="005264F3">
        <w:rPr>
          <w:rFonts w:ascii="Tw Cen MT" w:hAnsi="Tw Cen MT"/>
        </w:rPr>
        <w:t xml:space="preserve">charged by the custodian or </w:t>
      </w:r>
      <w:r w:rsidR="001E5321" w:rsidRPr="005264F3">
        <w:rPr>
          <w:rFonts w:ascii="Tw Cen MT" w:hAnsi="Tw Cen MT"/>
        </w:rPr>
        <w:t xml:space="preserve">other third parties </w:t>
      </w:r>
      <w:r w:rsidR="00E42F57" w:rsidRPr="005264F3">
        <w:rPr>
          <w:rFonts w:ascii="Tw Cen MT" w:hAnsi="Tw Cen MT"/>
        </w:rPr>
        <w:t xml:space="preserve">are exclusive of, and in addition </w:t>
      </w:r>
      <w:r w:rsidR="005264F3" w:rsidRPr="005264F3">
        <w:rPr>
          <w:rFonts w:ascii="Tw Cen MT" w:hAnsi="Tw Cen MT"/>
        </w:rPr>
        <w:t>to</w:t>
      </w:r>
      <w:r w:rsidR="00E42F57" w:rsidRPr="005264F3">
        <w:rPr>
          <w:rFonts w:ascii="Tw Cen MT" w:hAnsi="Tw Cen MT"/>
        </w:rPr>
        <w:t xml:space="preserve"> any investment management or investment </w:t>
      </w:r>
      <w:r w:rsidR="00EA3400" w:rsidRPr="005264F3">
        <w:rPr>
          <w:rFonts w:ascii="Tw Cen MT" w:hAnsi="Tw Cen MT"/>
        </w:rPr>
        <w:t>Advisory</w:t>
      </w:r>
      <w:r w:rsidR="00E42F57" w:rsidRPr="005264F3">
        <w:rPr>
          <w:rFonts w:ascii="Tw Cen MT" w:hAnsi="Tw Cen MT"/>
        </w:rPr>
        <w:t xml:space="preserve"> fee assessed by the </w:t>
      </w:r>
      <w:r w:rsidR="00EA3400" w:rsidRPr="005264F3">
        <w:rPr>
          <w:rFonts w:ascii="Tw Cen MT" w:hAnsi="Tw Cen MT"/>
        </w:rPr>
        <w:t>Adviser</w:t>
      </w:r>
      <w:r w:rsidR="00E42F57" w:rsidRPr="005264F3">
        <w:rPr>
          <w:rFonts w:ascii="Tw Cen MT" w:hAnsi="Tw Cen MT"/>
        </w:rPr>
        <w:t xml:space="preserve">. </w:t>
      </w:r>
      <w:r w:rsidR="00C37192">
        <w:rPr>
          <w:rFonts w:ascii="Tw Cen MT" w:hAnsi="Tw Cen MT"/>
        </w:rPr>
        <w:t xml:space="preserve">The </w:t>
      </w:r>
      <w:r w:rsidR="00C37192" w:rsidRPr="00D223C6">
        <w:rPr>
          <w:rFonts w:ascii="Tw Cen MT" w:hAnsi="Tw Cen MT"/>
        </w:rPr>
        <w:t xml:space="preserve">Client agrees that Adviser may, without further authorization, liquidate </w:t>
      </w:r>
      <w:r w:rsidR="00624FC6">
        <w:rPr>
          <w:rFonts w:ascii="Tw Cen MT" w:hAnsi="Tw Cen MT"/>
        </w:rPr>
        <w:t xml:space="preserve">securities which are held in the Account in order </w:t>
      </w:r>
      <w:r w:rsidR="00534AE9">
        <w:rPr>
          <w:rFonts w:ascii="Tw Cen MT" w:hAnsi="Tw Cen MT"/>
        </w:rPr>
        <w:t>to facilitate payment of fees pursuant to this Agreement</w:t>
      </w:r>
      <w:r w:rsidR="00C37192" w:rsidRPr="00D223C6">
        <w:rPr>
          <w:rFonts w:ascii="Tw Cen MT" w:hAnsi="Tw Cen MT"/>
        </w:rPr>
        <w:t xml:space="preserve">. The </w:t>
      </w:r>
      <w:r w:rsidR="00C37192">
        <w:rPr>
          <w:rFonts w:ascii="Tw Cen MT" w:hAnsi="Tw Cen MT"/>
        </w:rPr>
        <w:t>A</w:t>
      </w:r>
      <w:r w:rsidR="00C37192" w:rsidRPr="00D223C6">
        <w:rPr>
          <w:rFonts w:ascii="Tw Cen MT" w:hAnsi="Tw Cen MT"/>
        </w:rPr>
        <w:t xml:space="preserve">dviser will send a quarterly billing to </w:t>
      </w:r>
      <w:r w:rsidR="006F06DF" w:rsidRPr="00D223C6">
        <w:rPr>
          <w:rFonts w:ascii="Tw Cen MT" w:hAnsi="Tw Cen MT"/>
        </w:rPr>
        <w:t>Custodian,</w:t>
      </w:r>
      <w:r w:rsidR="00C37192" w:rsidRPr="00D223C6">
        <w:rPr>
          <w:rFonts w:ascii="Tw Cen MT" w:hAnsi="Tw Cen MT"/>
        </w:rPr>
        <w:t xml:space="preserve"> setting forth the </w:t>
      </w:r>
      <w:r w:rsidR="00EA3400">
        <w:rPr>
          <w:rFonts w:ascii="Tw Cen MT" w:hAnsi="Tw Cen MT"/>
        </w:rPr>
        <w:t>Advisor</w:t>
      </w:r>
      <w:r w:rsidR="00EA3400" w:rsidRPr="00D223C6">
        <w:rPr>
          <w:rFonts w:ascii="Tw Cen MT" w:hAnsi="Tw Cen MT"/>
        </w:rPr>
        <w:t>y</w:t>
      </w:r>
      <w:r w:rsidR="00C37192" w:rsidRPr="00D223C6">
        <w:rPr>
          <w:rFonts w:ascii="Tw Cen MT" w:hAnsi="Tw Cen MT"/>
        </w:rPr>
        <w:t xml:space="preserve"> fee due for that quarter. </w:t>
      </w:r>
      <w:r w:rsidR="00C37192">
        <w:rPr>
          <w:rFonts w:ascii="Tw Cen MT" w:hAnsi="Tw Cen MT"/>
        </w:rPr>
        <w:t xml:space="preserve">The </w:t>
      </w:r>
      <w:r w:rsidR="00C37192" w:rsidRPr="00D223C6">
        <w:rPr>
          <w:rFonts w:ascii="Tw Cen MT" w:hAnsi="Tw Cen MT"/>
        </w:rPr>
        <w:t xml:space="preserve">Custodian shall pay the fee directly to </w:t>
      </w:r>
      <w:r w:rsidR="00914FF7" w:rsidRPr="00D223C6">
        <w:rPr>
          <w:rFonts w:ascii="Tw Cen MT" w:hAnsi="Tw Cen MT"/>
        </w:rPr>
        <w:t>the Adviser</w:t>
      </w:r>
      <w:r w:rsidR="00C37192" w:rsidRPr="00D223C6">
        <w:rPr>
          <w:rFonts w:ascii="Tw Cen MT" w:hAnsi="Tw Cen MT"/>
        </w:rPr>
        <w:t xml:space="preserve"> from the Account. </w:t>
      </w:r>
    </w:p>
    <w:p w14:paraId="618E614B" w14:textId="11680456" w:rsidR="00D223C6" w:rsidRPr="00D223C6" w:rsidRDefault="00D223C6" w:rsidP="002519DB">
      <w:pPr>
        <w:rPr>
          <w:rFonts w:ascii="Tw Cen MT" w:hAnsi="Tw Cen MT"/>
        </w:rPr>
      </w:pPr>
      <w:r w:rsidRPr="00D223C6">
        <w:rPr>
          <w:rFonts w:ascii="Tw Cen MT" w:hAnsi="Tw Cen MT"/>
        </w:rPr>
        <w:t xml:space="preserve">In addition to the fee charged by </w:t>
      </w:r>
      <w:r w:rsidR="002519DB" w:rsidRPr="00D223C6">
        <w:rPr>
          <w:rFonts w:ascii="Tw Cen MT" w:hAnsi="Tw Cen MT"/>
        </w:rPr>
        <w:t>the Adviser</w:t>
      </w:r>
      <w:r w:rsidRPr="00D223C6">
        <w:rPr>
          <w:rFonts w:ascii="Tw Cen MT" w:hAnsi="Tw Cen MT"/>
        </w:rPr>
        <w:t xml:space="preserve">, the Custodian may charge a fee for services provided. Fees will vary depending upon the Custodian used. The Client will receive an account statement from </w:t>
      </w:r>
      <w:r w:rsidR="002519DB" w:rsidRPr="00D223C6">
        <w:rPr>
          <w:rFonts w:ascii="Tw Cen MT" w:hAnsi="Tw Cen MT"/>
        </w:rPr>
        <w:t>the Custodian</w:t>
      </w:r>
      <w:r w:rsidRPr="00D223C6">
        <w:rPr>
          <w:rFonts w:ascii="Tw Cen MT" w:hAnsi="Tw Cen MT"/>
        </w:rPr>
        <w:t xml:space="preserve"> no less frequently than quarterly. The account statements from </w:t>
      </w:r>
      <w:r w:rsidR="002519DB" w:rsidRPr="00D223C6">
        <w:rPr>
          <w:rFonts w:ascii="Tw Cen MT" w:hAnsi="Tw Cen MT"/>
        </w:rPr>
        <w:t>the Custodian</w:t>
      </w:r>
      <w:r w:rsidRPr="00D223C6">
        <w:rPr>
          <w:rFonts w:ascii="Tw Cen MT" w:hAnsi="Tw Cen MT"/>
        </w:rPr>
        <w:t xml:space="preserve"> will indicate the amount of </w:t>
      </w:r>
      <w:r w:rsidR="00EA3400">
        <w:rPr>
          <w:rFonts w:ascii="Tw Cen MT" w:hAnsi="Tw Cen MT"/>
        </w:rPr>
        <w:t>Advisory</w:t>
      </w:r>
      <w:r w:rsidRPr="00D223C6">
        <w:rPr>
          <w:rFonts w:ascii="Tw Cen MT" w:hAnsi="Tw Cen MT"/>
        </w:rPr>
        <w:t xml:space="preserve"> fees deducted from account(s) each billing period. </w:t>
      </w:r>
      <w:r w:rsidR="002519DB">
        <w:rPr>
          <w:rFonts w:ascii="Tw Cen MT" w:hAnsi="Tw Cen MT"/>
        </w:rPr>
        <w:t xml:space="preserve">The </w:t>
      </w:r>
      <w:r w:rsidRPr="00D223C6">
        <w:rPr>
          <w:rFonts w:ascii="Tw Cen MT" w:hAnsi="Tw Cen MT"/>
        </w:rPr>
        <w:t>Client should carefully review account statements for accuracy.</w:t>
      </w:r>
    </w:p>
    <w:p w14:paraId="3309CC60" w14:textId="3DADC7BA" w:rsidR="00A55DAC" w:rsidRPr="00EB5F60" w:rsidRDefault="00365A44" w:rsidP="00365A44">
      <w:pPr>
        <w:spacing w:line="240" w:lineRule="auto"/>
        <w:rPr>
          <w:rFonts w:ascii="Tw Cen MT" w:hAnsi="Tw Cen MT"/>
        </w:rPr>
      </w:pPr>
      <w:r w:rsidRPr="00365A44">
        <w:rPr>
          <w:rFonts w:ascii="Tw Cen MT" w:hAnsi="Tw Cen MT"/>
        </w:rPr>
        <w:t xml:space="preserve">As part of our investment </w:t>
      </w:r>
      <w:r w:rsidR="00EA3400">
        <w:rPr>
          <w:rFonts w:ascii="Tw Cen MT" w:hAnsi="Tw Cen MT"/>
        </w:rPr>
        <w:t>Advisory</w:t>
      </w:r>
      <w:r w:rsidRPr="00365A44">
        <w:rPr>
          <w:rFonts w:ascii="Tw Cen MT" w:hAnsi="Tw Cen MT"/>
        </w:rPr>
        <w:t xml:space="preserve"> services to you, we may invest, or recommend that you invest, in mutual funds and </w:t>
      </w:r>
      <w:r w:rsidR="006D487A" w:rsidRPr="00365A44">
        <w:rPr>
          <w:rFonts w:ascii="Tw Cen MT" w:hAnsi="Tw Cen MT"/>
        </w:rPr>
        <w:t>exchange-trade</w:t>
      </w:r>
      <w:r w:rsidR="006D487A">
        <w:rPr>
          <w:rFonts w:ascii="Tw Cen MT" w:hAnsi="Tw Cen MT"/>
        </w:rPr>
        <w:t>d</w:t>
      </w:r>
      <w:r w:rsidRPr="00365A44">
        <w:rPr>
          <w:rFonts w:ascii="Tw Cen MT" w:hAnsi="Tw Cen MT"/>
        </w:rPr>
        <w:t xml:space="preserve"> funds. All fees that you pay to our firm for investment </w:t>
      </w:r>
      <w:r w:rsidR="00EA3400">
        <w:rPr>
          <w:rFonts w:ascii="Tw Cen MT" w:hAnsi="Tw Cen MT"/>
        </w:rPr>
        <w:t>Advisory</w:t>
      </w:r>
      <w:r w:rsidRPr="00365A44">
        <w:rPr>
          <w:rFonts w:ascii="Tw Cen MT" w:hAnsi="Tw Cen MT"/>
        </w:rPr>
        <w:t xml:space="preserve"> services are separate and distinct from the</w:t>
      </w:r>
      <w:r w:rsidR="0059447F">
        <w:rPr>
          <w:rFonts w:ascii="Tw Cen MT" w:hAnsi="Tw Cen MT"/>
        </w:rPr>
        <w:t xml:space="preserve"> internal</w:t>
      </w:r>
      <w:r w:rsidRPr="00365A44">
        <w:rPr>
          <w:rFonts w:ascii="Tw Cen MT" w:hAnsi="Tw Cen MT"/>
        </w:rPr>
        <w:t xml:space="preserve"> fees and expenses charged by mutual funds and/or exchange traded funds (described in each fund's prospectus) to their shareholders. These fees will generally include a</w:t>
      </w:r>
      <w:r>
        <w:rPr>
          <w:rFonts w:ascii="Tw Cen MT" w:hAnsi="Tw Cen MT"/>
        </w:rPr>
        <w:t xml:space="preserve"> </w:t>
      </w:r>
      <w:r w:rsidRPr="00365A44">
        <w:rPr>
          <w:rFonts w:ascii="Tw Cen MT" w:hAnsi="Tw Cen MT"/>
        </w:rPr>
        <w:t xml:space="preserve">management fee and other fund expenses. You may also incur transaction charges and/or brokerage fees when purchasing or selling securities. These charges and fees are typically imposed by the broker-dealer or custodian through whom your account transactions are executed. We do not share in </w:t>
      </w:r>
      <w:r w:rsidR="00887F7D" w:rsidRPr="00365A44">
        <w:rPr>
          <w:rFonts w:ascii="Tw Cen MT" w:hAnsi="Tw Cen MT"/>
        </w:rPr>
        <w:t>or</w:t>
      </w:r>
      <w:r w:rsidRPr="00365A44">
        <w:rPr>
          <w:rFonts w:ascii="Tw Cen MT" w:hAnsi="Tw Cen MT"/>
        </w:rPr>
        <w:t xml:space="preserve"> receive any portion of the brokerage fees/transaction charges imposed by the broker-dealer or custodian. </w:t>
      </w:r>
    </w:p>
    <w:bookmarkEnd w:id="1"/>
    <w:p w14:paraId="1129EB01" w14:textId="77777777" w:rsidR="00F13138" w:rsidRDefault="00F13138" w:rsidP="00E42F57">
      <w:pPr>
        <w:pStyle w:val="Heading2"/>
        <w:rPr>
          <w:rFonts w:ascii="Tw Cen MT" w:eastAsiaTheme="minorHAnsi" w:hAnsi="Tw Cen MT" w:cstheme="minorBidi"/>
          <w:i/>
          <w:iCs/>
          <w:color w:val="auto"/>
          <w:sz w:val="22"/>
          <w:szCs w:val="22"/>
        </w:rPr>
      </w:pPr>
    </w:p>
    <w:p w14:paraId="63CA67A6" w14:textId="6C263771" w:rsidR="00BC582A" w:rsidRPr="00BF650B" w:rsidRDefault="00BC582A" w:rsidP="00E42F57">
      <w:pPr>
        <w:pStyle w:val="Heading2"/>
      </w:pPr>
      <w:r w:rsidRPr="00BF650B">
        <w:t xml:space="preserve">Section </w:t>
      </w:r>
      <w:r w:rsidR="000A1879">
        <w:t>2</w:t>
      </w:r>
      <w:r w:rsidRPr="00BF650B">
        <w:t xml:space="preserve"> – Ownership</w:t>
      </w:r>
    </w:p>
    <w:p w14:paraId="669BF940" w14:textId="61973E19" w:rsidR="00BC582A" w:rsidRPr="00BF650B" w:rsidRDefault="00035139" w:rsidP="00BC582A">
      <w:pPr>
        <w:rPr>
          <w:rFonts w:ascii="Tw Cen MT" w:hAnsi="Tw Cen MT"/>
        </w:rPr>
      </w:pPr>
      <w:r w:rsidRPr="00BF650B">
        <w:rPr>
          <w:rFonts w:ascii="Tw Cen MT" w:hAnsi="Tw Cen MT"/>
        </w:rPr>
        <w:t>The Client</w:t>
      </w:r>
      <w:r w:rsidR="00BC582A" w:rsidRPr="00BF650B">
        <w:rPr>
          <w:rFonts w:ascii="Tw Cen MT" w:hAnsi="Tw Cen MT"/>
        </w:rPr>
        <w:t xml:space="preserve"> at all times retains direct ownership of the securities held in accounts managed by </w:t>
      </w:r>
      <w:r w:rsidR="00456141" w:rsidRPr="00BF650B">
        <w:rPr>
          <w:rFonts w:ascii="Tw Cen MT" w:hAnsi="Tw Cen MT"/>
        </w:rPr>
        <w:t xml:space="preserve">the </w:t>
      </w:r>
      <w:r w:rsidR="00EA3400">
        <w:rPr>
          <w:rFonts w:ascii="Tw Cen MT" w:hAnsi="Tw Cen MT"/>
        </w:rPr>
        <w:t>Adviser</w:t>
      </w:r>
      <w:r w:rsidR="00DC5B54" w:rsidRPr="00BF650B">
        <w:rPr>
          <w:rFonts w:ascii="Tw Cen MT" w:hAnsi="Tw Cen MT"/>
        </w:rPr>
        <w:t xml:space="preserve">. </w:t>
      </w:r>
      <w:r w:rsidR="00BC582A" w:rsidRPr="00BF650B">
        <w:rPr>
          <w:rFonts w:ascii="Tw Cen MT" w:hAnsi="Tw Cen MT"/>
        </w:rPr>
        <w:t xml:space="preserve">The </w:t>
      </w:r>
      <w:r w:rsidR="00EA3400">
        <w:rPr>
          <w:rFonts w:ascii="Tw Cen MT" w:hAnsi="Tw Cen MT"/>
        </w:rPr>
        <w:t>Adviser</w:t>
      </w:r>
      <w:r w:rsidR="00BC582A" w:rsidRPr="00BF650B">
        <w:rPr>
          <w:rFonts w:ascii="Tw Cen MT" w:hAnsi="Tw Cen MT"/>
        </w:rPr>
        <w:t xml:space="preserve"> does not have custody of the account nor the authority to withdraw funds other than to pay fees as described in this agreement. The custodian will provide the Client with a monthly or quarterly statement reflecting all transactions and current holdings </w:t>
      </w:r>
      <w:r w:rsidR="00456141" w:rsidRPr="00BF650B">
        <w:rPr>
          <w:rFonts w:ascii="Tw Cen MT" w:hAnsi="Tw Cen MT"/>
        </w:rPr>
        <w:t>at</w:t>
      </w:r>
      <w:r w:rsidR="00BC582A" w:rsidRPr="00BF650B">
        <w:rPr>
          <w:rFonts w:ascii="Tw Cen MT" w:hAnsi="Tw Cen MT"/>
        </w:rPr>
        <w:t xml:space="preserve"> the end of each statement period.</w:t>
      </w:r>
    </w:p>
    <w:p w14:paraId="5D45EDFF" w14:textId="0DFE1975" w:rsidR="00872374" w:rsidRPr="00BF650B" w:rsidRDefault="00872374" w:rsidP="00BC582A">
      <w:pPr>
        <w:rPr>
          <w:rFonts w:ascii="Tw Cen MT" w:hAnsi="Tw Cen MT"/>
        </w:rPr>
      </w:pPr>
      <w:r w:rsidRPr="00BF650B">
        <w:rPr>
          <w:rFonts w:ascii="Tw Cen MT" w:hAnsi="Tw Cen MT"/>
        </w:rPr>
        <w:t>The Account(s), and the assets in the Account(s), shall be held by an independent custodian (“Custodian”)</w:t>
      </w:r>
      <w:r w:rsidR="00DC5B54" w:rsidRPr="00BF650B">
        <w:rPr>
          <w:rFonts w:ascii="Tw Cen MT" w:hAnsi="Tw Cen MT"/>
        </w:rPr>
        <w:t xml:space="preserve">. </w:t>
      </w:r>
      <w:r w:rsidR="00AD7DA0">
        <w:rPr>
          <w:rFonts w:ascii="Tw Cen MT" w:hAnsi="Tw Cen MT"/>
        </w:rPr>
        <w:t xml:space="preserve">The </w:t>
      </w:r>
      <w:r w:rsidRPr="00BF650B">
        <w:rPr>
          <w:rFonts w:ascii="Tw Cen MT" w:hAnsi="Tw Cen MT"/>
        </w:rPr>
        <w:t xml:space="preserve">Client also authorizes and directs </w:t>
      </w:r>
      <w:r w:rsidR="00EA3400">
        <w:rPr>
          <w:rFonts w:ascii="Tw Cen MT" w:hAnsi="Tw Cen MT"/>
        </w:rPr>
        <w:t>Adviser</w:t>
      </w:r>
      <w:r w:rsidRPr="00BF650B">
        <w:rPr>
          <w:rFonts w:ascii="Tw Cen MT" w:hAnsi="Tw Cen MT"/>
        </w:rPr>
        <w:t xml:space="preserve"> to instruct Custodian on Client’s behalf to (a) send Client at least quarterly a statement showing all transactions occurring in the Account during the period covered by the account statement, and the funds, securities, and other property in the Account at the end of the period; and (b) provide </w:t>
      </w:r>
      <w:r w:rsidR="00EA3400">
        <w:rPr>
          <w:rFonts w:ascii="Tw Cen MT" w:hAnsi="Tw Cen MT"/>
        </w:rPr>
        <w:t>Adviser</w:t>
      </w:r>
      <w:r w:rsidRPr="00BF650B">
        <w:rPr>
          <w:rFonts w:ascii="Tw Cen MT" w:hAnsi="Tw Cen MT"/>
        </w:rPr>
        <w:t xml:space="preserve"> copies of all periodic statements and other reports for the Account that Custodian sends to Client.</w:t>
      </w:r>
      <w:r w:rsidR="00DC6A35" w:rsidRPr="00DC6A35">
        <w:rPr>
          <w:rFonts w:ascii="Tw Cen MT" w:hAnsi="Tw Cen MT"/>
        </w:rPr>
        <w:t xml:space="preserve"> The Client’s relationship with the Custodian will be governed by a separate agreement between Client and Custodian.</w:t>
      </w:r>
    </w:p>
    <w:p w14:paraId="2DC9569A" w14:textId="4639AF40" w:rsidR="000312FA" w:rsidRPr="00BF650B" w:rsidRDefault="000312FA" w:rsidP="000312FA">
      <w:pPr>
        <w:pStyle w:val="Heading2"/>
      </w:pPr>
      <w:r w:rsidRPr="00BF650B">
        <w:t xml:space="preserve">Section </w:t>
      </w:r>
      <w:r w:rsidR="000A1879">
        <w:t>3</w:t>
      </w:r>
      <w:r w:rsidRPr="00BF650B">
        <w:t xml:space="preserve"> – Client Authority</w:t>
      </w:r>
    </w:p>
    <w:p w14:paraId="577BB8A2" w14:textId="46908FB5" w:rsidR="000312FA" w:rsidRPr="00BF650B" w:rsidRDefault="00BC582A" w:rsidP="00BC582A">
      <w:pPr>
        <w:rPr>
          <w:rFonts w:ascii="Tw Cen MT" w:hAnsi="Tw Cen MT"/>
        </w:rPr>
      </w:pPr>
      <w:r w:rsidRPr="00BF650B">
        <w:rPr>
          <w:rFonts w:ascii="Tw Cen MT" w:hAnsi="Tw Cen MT"/>
        </w:rPr>
        <w:t>If Client is an individual, Client represents that he or she is of legal age</w:t>
      </w:r>
      <w:r w:rsidR="00DC5B54" w:rsidRPr="00BF650B">
        <w:rPr>
          <w:rFonts w:ascii="Tw Cen MT" w:hAnsi="Tw Cen MT"/>
        </w:rPr>
        <w:t xml:space="preserve">. </w:t>
      </w:r>
      <w:r w:rsidRPr="00BF650B">
        <w:rPr>
          <w:rFonts w:ascii="Tw Cen MT" w:hAnsi="Tw Cen MT"/>
        </w:rPr>
        <w:t>If Client is a corporation, partnership or limited liability company, the person signing this Agreement for the Client represents that he or she has been authorized to do so by appropriate action</w:t>
      </w:r>
      <w:r w:rsidR="00DC5B54" w:rsidRPr="00BF650B">
        <w:rPr>
          <w:rFonts w:ascii="Tw Cen MT" w:hAnsi="Tw Cen MT"/>
        </w:rPr>
        <w:t xml:space="preserve">. </w:t>
      </w:r>
      <w:r w:rsidRPr="00BF650B">
        <w:rPr>
          <w:rFonts w:ascii="Tw Cen MT" w:hAnsi="Tw Cen MT"/>
        </w:rPr>
        <w:t xml:space="preserve">If this Agreement is entered into by a trustee or other fiduciary, the trustee or fiduciary represents that </w:t>
      </w:r>
      <w:r w:rsidR="00EA3400">
        <w:rPr>
          <w:rFonts w:ascii="Tw Cen MT" w:hAnsi="Tw Cen MT"/>
        </w:rPr>
        <w:t>Adviser</w:t>
      </w:r>
      <w:r w:rsidRPr="00BF650B">
        <w:rPr>
          <w:rFonts w:ascii="Tw Cen MT" w:hAnsi="Tw Cen MT"/>
        </w:rPr>
        <w:t xml:space="preserve">’s investment </w:t>
      </w:r>
      <w:r w:rsidR="00EA3400">
        <w:rPr>
          <w:rFonts w:ascii="Tw Cen MT" w:hAnsi="Tw Cen MT"/>
        </w:rPr>
        <w:t>Advisory</w:t>
      </w:r>
      <w:r w:rsidRPr="00BF650B">
        <w:rPr>
          <w:rFonts w:ascii="Tw Cen MT" w:hAnsi="Tw Cen MT"/>
        </w:rPr>
        <w:t xml:space="preserve"> and management services are authorized under the applicable plan, trust, or law and that the person signing this Agreement has the authority to negotiate and enter into this Agreement</w:t>
      </w:r>
      <w:r w:rsidR="00DC5B54" w:rsidRPr="00BF650B">
        <w:rPr>
          <w:rFonts w:ascii="Tw Cen MT" w:hAnsi="Tw Cen MT"/>
        </w:rPr>
        <w:t xml:space="preserve">. </w:t>
      </w:r>
      <w:r w:rsidRPr="00BF650B">
        <w:rPr>
          <w:rFonts w:ascii="Tw Cen MT" w:hAnsi="Tw Cen MT"/>
        </w:rPr>
        <w:t xml:space="preserve">Client will inform the </w:t>
      </w:r>
      <w:r w:rsidR="00EA3400">
        <w:rPr>
          <w:rFonts w:ascii="Tw Cen MT" w:hAnsi="Tw Cen MT"/>
        </w:rPr>
        <w:t>Adviser</w:t>
      </w:r>
      <w:r w:rsidRPr="00BF650B">
        <w:rPr>
          <w:rFonts w:ascii="Tw Cen MT" w:hAnsi="Tw Cen MT"/>
        </w:rPr>
        <w:t xml:space="preserve"> of any event that might affect this authority or the propriety of this Agreement.</w:t>
      </w:r>
    </w:p>
    <w:p w14:paraId="50307379" w14:textId="37AFCC0A" w:rsidR="000312FA" w:rsidRPr="00BF650B" w:rsidRDefault="000312FA" w:rsidP="000312FA">
      <w:pPr>
        <w:rPr>
          <w:rFonts w:ascii="Tw Cen MT" w:hAnsi="Tw Cen MT"/>
        </w:rPr>
      </w:pPr>
      <w:r w:rsidRPr="00BF650B">
        <w:rPr>
          <w:rFonts w:ascii="Tw Cen MT" w:hAnsi="Tw Cen MT"/>
        </w:rPr>
        <w:t xml:space="preserve">Client agrees to deliver to </w:t>
      </w:r>
      <w:r w:rsidR="00EA3400">
        <w:rPr>
          <w:rFonts w:ascii="Tw Cen MT" w:hAnsi="Tw Cen MT"/>
        </w:rPr>
        <w:t>Adviser</w:t>
      </w:r>
      <w:r w:rsidRPr="00BF650B">
        <w:rPr>
          <w:rFonts w:ascii="Tw Cen MT" w:hAnsi="Tw Cen MT"/>
        </w:rPr>
        <w:t xml:space="preserve"> all account forms and corporate resolutions or similar documentation evidencing the undersigned’s authority to execute and deliver this Agreement. </w:t>
      </w:r>
      <w:r w:rsidR="00D75B40">
        <w:rPr>
          <w:rFonts w:ascii="Tw Cen MT" w:hAnsi="Tw Cen MT"/>
        </w:rPr>
        <w:t xml:space="preserve">The </w:t>
      </w:r>
      <w:r w:rsidRPr="00BF650B">
        <w:rPr>
          <w:rFonts w:ascii="Tw Cen MT" w:hAnsi="Tw Cen MT"/>
        </w:rPr>
        <w:t xml:space="preserve">Client also agrees to deliver such organizational documents and other documents as </w:t>
      </w:r>
      <w:r w:rsidR="00D75B40" w:rsidRPr="00BF650B">
        <w:rPr>
          <w:rFonts w:ascii="Tw Cen MT" w:hAnsi="Tw Cen MT"/>
        </w:rPr>
        <w:t xml:space="preserve">the </w:t>
      </w:r>
      <w:r w:rsidR="00EA3400">
        <w:rPr>
          <w:rFonts w:ascii="Tw Cen MT" w:hAnsi="Tw Cen MT"/>
        </w:rPr>
        <w:t>Adviser</w:t>
      </w:r>
      <w:r w:rsidRPr="00BF650B">
        <w:rPr>
          <w:rFonts w:ascii="Tw Cen MT" w:hAnsi="Tw Cen MT"/>
        </w:rPr>
        <w:t xml:space="preserve"> may reasonably require. </w:t>
      </w:r>
      <w:r w:rsidR="00D61E9C">
        <w:rPr>
          <w:rFonts w:ascii="Tw Cen MT" w:hAnsi="Tw Cen MT"/>
        </w:rPr>
        <w:t xml:space="preserve">The </w:t>
      </w:r>
      <w:r w:rsidRPr="00BF650B">
        <w:rPr>
          <w:rFonts w:ascii="Tw Cen MT" w:hAnsi="Tw Cen MT"/>
        </w:rPr>
        <w:t xml:space="preserve">Client agrees that </w:t>
      </w:r>
      <w:r w:rsidR="00EA3400">
        <w:rPr>
          <w:rFonts w:ascii="Tw Cen MT" w:hAnsi="Tw Cen MT"/>
        </w:rPr>
        <w:t>Adviser</w:t>
      </w:r>
      <w:r w:rsidRPr="00BF650B">
        <w:rPr>
          <w:rFonts w:ascii="Tw Cen MT" w:hAnsi="Tw Cen MT"/>
        </w:rPr>
        <w:t xml:space="preserve"> shall not be liable for any losses, costs or claims suffered or arising out of Client’s failure to provide </w:t>
      </w:r>
      <w:r w:rsidR="00EA3400">
        <w:rPr>
          <w:rFonts w:ascii="Tw Cen MT" w:hAnsi="Tw Cen MT"/>
        </w:rPr>
        <w:t>Adviser</w:t>
      </w:r>
      <w:r w:rsidRPr="00BF650B">
        <w:rPr>
          <w:rFonts w:ascii="Tw Cen MT" w:hAnsi="Tw Cen MT"/>
        </w:rPr>
        <w:t xml:space="preserve"> with any documents required to be furnished under this Agreement, or that are pertinent to </w:t>
      </w:r>
      <w:r w:rsidR="00EA3400">
        <w:rPr>
          <w:rFonts w:ascii="Tw Cen MT" w:hAnsi="Tw Cen MT"/>
        </w:rPr>
        <w:t>Adviser</w:t>
      </w:r>
      <w:r w:rsidRPr="00BF650B">
        <w:rPr>
          <w:rFonts w:ascii="Tw Cen MT" w:hAnsi="Tw Cen MT"/>
        </w:rPr>
        <w:t xml:space="preserve">’s investment </w:t>
      </w:r>
      <w:r w:rsidR="00EA3400">
        <w:rPr>
          <w:rFonts w:ascii="Tw Cen MT" w:hAnsi="Tw Cen MT"/>
        </w:rPr>
        <w:t>Advisory</w:t>
      </w:r>
      <w:r w:rsidRPr="00BF650B">
        <w:rPr>
          <w:rFonts w:ascii="Tw Cen MT" w:hAnsi="Tw Cen MT"/>
        </w:rPr>
        <w:t xml:space="preserve"> and management services</w:t>
      </w:r>
      <w:r w:rsidR="00DC5B54" w:rsidRPr="00BF650B">
        <w:rPr>
          <w:rFonts w:ascii="Tw Cen MT" w:hAnsi="Tw Cen MT"/>
        </w:rPr>
        <w:t xml:space="preserve">. </w:t>
      </w:r>
      <w:r w:rsidRPr="00BF650B">
        <w:rPr>
          <w:rFonts w:ascii="Tw Cen MT" w:hAnsi="Tw Cen MT"/>
        </w:rPr>
        <w:t>Client warrants and represents that it owns all the assets or property deposited in the Account(s) and that no restrictions on disposition exist as to any such assets or property.</w:t>
      </w:r>
    </w:p>
    <w:p w14:paraId="15C8477C" w14:textId="0F4A3140" w:rsidR="000312FA" w:rsidRPr="00BF650B" w:rsidRDefault="000312FA" w:rsidP="000312FA">
      <w:pPr>
        <w:pStyle w:val="Heading2"/>
      </w:pPr>
      <w:r w:rsidRPr="00BF650B">
        <w:t xml:space="preserve">Section </w:t>
      </w:r>
      <w:r w:rsidR="000A1879">
        <w:t>4</w:t>
      </w:r>
      <w:r w:rsidRPr="00BF650B">
        <w:t xml:space="preserve"> – Accounts with Multiple Owners or Representatives</w:t>
      </w:r>
    </w:p>
    <w:p w14:paraId="4ADC5930" w14:textId="6D0A07CB" w:rsidR="00BC582A" w:rsidRPr="00BF650B" w:rsidRDefault="000312FA" w:rsidP="00BC582A">
      <w:pPr>
        <w:rPr>
          <w:rFonts w:ascii="Tw Cen MT" w:hAnsi="Tw Cen MT"/>
        </w:rPr>
      </w:pPr>
      <w:r w:rsidRPr="00BF650B">
        <w:rPr>
          <w:rFonts w:ascii="Tw Cen MT" w:hAnsi="Tw Cen MT"/>
        </w:rPr>
        <w:t>Accounts with multiple clients, trustees, or representatives (such as a joint account, or a trust account) shall be considered one Client</w:t>
      </w:r>
      <w:r w:rsidR="00DC5B54" w:rsidRPr="00BF650B">
        <w:rPr>
          <w:rFonts w:ascii="Tw Cen MT" w:hAnsi="Tw Cen MT"/>
        </w:rPr>
        <w:t xml:space="preserve">. </w:t>
      </w:r>
      <w:r w:rsidRPr="00BF650B">
        <w:rPr>
          <w:rFonts w:ascii="Tw Cen MT" w:hAnsi="Tw Cen MT"/>
        </w:rPr>
        <w:t xml:space="preserve">If </w:t>
      </w:r>
      <w:r w:rsidR="00035139" w:rsidRPr="00BF650B">
        <w:rPr>
          <w:rFonts w:ascii="Tw Cen MT" w:hAnsi="Tw Cen MT"/>
        </w:rPr>
        <w:t xml:space="preserve">the </w:t>
      </w:r>
      <w:r w:rsidR="00EA3400">
        <w:rPr>
          <w:rFonts w:ascii="Tw Cen MT" w:hAnsi="Tw Cen MT"/>
        </w:rPr>
        <w:t>Adviser</w:t>
      </w:r>
      <w:r w:rsidRPr="00BF650B">
        <w:rPr>
          <w:rFonts w:ascii="Tw Cen MT" w:hAnsi="Tw Cen MT"/>
        </w:rPr>
        <w:t xml:space="preserve"> receives information from one client or representative of an account, that information can be shared with the other client(s) or representative(s) of that account</w:t>
      </w:r>
      <w:r w:rsidR="00DC5B54" w:rsidRPr="00BF650B">
        <w:rPr>
          <w:rFonts w:ascii="Tw Cen MT" w:hAnsi="Tw Cen MT"/>
        </w:rPr>
        <w:t xml:space="preserve">. </w:t>
      </w:r>
      <w:r w:rsidRPr="00BF650B">
        <w:rPr>
          <w:rFonts w:ascii="Tw Cen MT" w:hAnsi="Tw Cen MT"/>
        </w:rPr>
        <w:t xml:space="preserve">If one client or representative of an account gives </w:t>
      </w:r>
      <w:r w:rsidR="00EA3400">
        <w:rPr>
          <w:rFonts w:ascii="Tw Cen MT" w:hAnsi="Tw Cen MT"/>
        </w:rPr>
        <w:t>Adviser</w:t>
      </w:r>
      <w:r w:rsidRPr="00BF650B">
        <w:rPr>
          <w:rFonts w:ascii="Tw Cen MT" w:hAnsi="Tw Cen MT"/>
        </w:rPr>
        <w:t xml:space="preserve"> authorization under this Agreement, that authorization shall be valid as to all clients and representatives of that account. </w:t>
      </w:r>
    </w:p>
    <w:p w14:paraId="2C2941E8" w14:textId="174C3083" w:rsidR="00BC582A" w:rsidRPr="00BF650B" w:rsidRDefault="00BC582A" w:rsidP="00BC582A">
      <w:pPr>
        <w:pStyle w:val="Heading2"/>
      </w:pPr>
      <w:r w:rsidRPr="00BF650B">
        <w:t xml:space="preserve">Section </w:t>
      </w:r>
      <w:r w:rsidR="000A1879">
        <w:t>5</w:t>
      </w:r>
      <w:r w:rsidRPr="00BF650B">
        <w:t xml:space="preserve"> – Confidentiality</w:t>
      </w:r>
    </w:p>
    <w:p w14:paraId="1E2EBAEF" w14:textId="2A22D858" w:rsidR="00BC582A" w:rsidRPr="00BF650B" w:rsidRDefault="00EA3400" w:rsidP="00BC582A">
      <w:pPr>
        <w:rPr>
          <w:rFonts w:ascii="Tw Cen MT" w:hAnsi="Tw Cen MT"/>
        </w:rPr>
      </w:pPr>
      <w:r>
        <w:rPr>
          <w:rFonts w:ascii="Tw Cen MT" w:hAnsi="Tw Cen MT"/>
        </w:rPr>
        <w:t>Adviser</w:t>
      </w:r>
      <w:r w:rsidR="00BC582A" w:rsidRPr="00BF650B">
        <w:rPr>
          <w:rFonts w:ascii="Tw Cen MT" w:hAnsi="Tw Cen MT"/>
        </w:rPr>
        <w:t xml:space="preserve"> shall keep confidential all information concerning Client’s identity, financial affairs, and the Account(s), except as required by law</w:t>
      </w:r>
      <w:r w:rsidR="00DC5B54" w:rsidRPr="00BF650B">
        <w:rPr>
          <w:rFonts w:ascii="Tw Cen MT" w:hAnsi="Tw Cen MT"/>
        </w:rPr>
        <w:t xml:space="preserve">. </w:t>
      </w:r>
      <w:r w:rsidR="00BC582A" w:rsidRPr="00BF650B">
        <w:rPr>
          <w:rFonts w:ascii="Tw Cen MT" w:hAnsi="Tw Cen MT"/>
        </w:rPr>
        <w:t xml:space="preserve">Also, Client authorizes </w:t>
      </w:r>
      <w:r>
        <w:rPr>
          <w:rFonts w:ascii="Tw Cen MT" w:hAnsi="Tw Cen MT"/>
        </w:rPr>
        <w:t>Adviser</w:t>
      </w:r>
      <w:r w:rsidR="00BC582A" w:rsidRPr="00BF650B">
        <w:rPr>
          <w:rFonts w:ascii="Tw Cen MT" w:hAnsi="Tw Cen MT"/>
        </w:rPr>
        <w:t xml:space="preserve"> to disclose to Custodian and third parties, such as technology and software companies, whatever information </w:t>
      </w:r>
      <w:r>
        <w:rPr>
          <w:rFonts w:ascii="Tw Cen MT" w:hAnsi="Tw Cen MT"/>
        </w:rPr>
        <w:t>Adviser</w:t>
      </w:r>
      <w:r w:rsidR="00BC582A" w:rsidRPr="00BF650B">
        <w:rPr>
          <w:rFonts w:ascii="Tw Cen MT" w:hAnsi="Tw Cen MT"/>
        </w:rPr>
        <w:t xml:space="preserve"> deems reasonable in connection with </w:t>
      </w:r>
      <w:r>
        <w:rPr>
          <w:rFonts w:ascii="Tw Cen MT" w:hAnsi="Tw Cen MT"/>
        </w:rPr>
        <w:t>Adviser</w:t>
      </w:r>
      <w:r w:rsidR="00BC582A" w:rsidRPr="00BF650B">
        <w:rPr>
          <w:rFonts w:ascii="Tw Cen MT" w:hAnsi="Tw Cen MT"/>
        </w:rPr>
        <w:t>’s performance of its obligations and duties under this Agreement.</w:t>
      </w:r>
    </w:p>
    <w:p w14:paraId="476454C5" w14:textId="1FBEAB8B" w:rsidR="009553CD" w:rsidRPr="00BF650B" w:rsidRDefault="009553CD" w:rsidP="009553CD">
      <w:pPr>
        <w:pStyle w:val="Heading2"/>
      </w:pPr>
      <w:r w:rsidRPr="00BF650B">
        <w:lastRenderedPageBreak/>
        <w:t xml:space="preserve">Section </w:t>
      </w:r>
      <w:r w:rsidR="000A1879">
        <w:t>6</w:t>
      </w:r>
      <w:r w:rsidRPr="00BF650B">
        <w:t xml:space="preserve"> – Electronic Delivery Authorization</w:t>
      </w:r>
    </w:p>
    <w:p w14:paraId="00F6EDD6" w14:textId="4AE769B7" w:rsidR="009553CD" w:rsidRPr="00BF650B" w:rsidRDefault="009553CD" w:rsidP="009553CD">
      <w:pPr>
        <w:rPr>
          <w:rFonts w:ascii="Tw Cen MT" w:hAnsi="Tw Cen MT"/>
        </w:rPr>
      </w:pPr>
      <w:r w:rsidRPr="00BF650B">
        <w:rPr>
          <w:rFonts w:ascii="Tw Cen MT" w:hAnsi="Tw Cen MT"/>
        </w:rPr>
        <w:t xml:space="preserve">Client authorizes </w:t>
      </w:r>
      <w:r w:rsidR="00EA3400">
        <w:rPr>
          <w:rFonts w:ascii="Tw Cen MT" w:hAnsi="Tw Cen MT"/>
        </w:rPr>
        <w:t>Adviser</w:t>
      </w:r>
      <w:r w:rsidRPr="00BF650B">
        <w:rPr>
          <w:rFonts w:ascii="Tw Cen MT" w:hAnsi="Tw Cen MT"/>
        </w:rPr>
        <w:t xml:space="preserve"> to deliver, and Client agrees to accept all required regulatory notices and disclosures, as well as all other correspondence from </w:t>
      </w:r>
      <w:r w:rsidR="00EA3400">
        <w:rPr>
          <w:rFonts w:ascii="Tw Cen MT" w:hAnsi="Tw Cen MT"/>
        </w:rPr>
        <w:t>Adviser</w:t>
      </w:r>
      <w:r w:rsidRPr="00BF650B">
        <w:rPr>
          <w:rFonts w:ascii="Tw Cen MT" w:hAnsi="Tw Cen MT"/>
        </w:rPr>
        <w:t>, via electronic mail</w:t>
      </w:r>
      <w:r w:rsidR="003F3320">
        <w:rPr>
          <w:rFonts w:ascii="Tw Cen MT" w:hAnsi="Tw Cen MT"/>
        </w:rPr>
        <w:t xml:space="preserve">. The </w:t>
      </w:r>
      <w:r w:rsidR="00EA3400">
        <w:rPr>
          <w:rFonts w:ascii="Tw Cen MT" w:hAnsi="Tw Cen MT"/>
        </w:rPr>
        <w:t>Adviser</w:t>
      </w:r>
      <w:r w:rsidRPr="00BF650B">
        <w:rPr>
          <w:rFonts w:ascii="Tw Cen MT" w:hAnsi="Tw Cen MT"/>
        </w:rPr>
        <w:t xml:space="preserve"> shall have completed all delivery requirements upon the forwarding of such document, disclosure, notice and/or correspondence to Client’s last provided email address</w:t>
      </w:r>
      <w:r w:rsidR="003F3320">
        <w:rPr>
          <w:rFonts w:ascii="Tw Cen MT" w:hAnsi="Tw Cen MT"/>
        </w:rPr>
        <w:t xml:space="preserve">. </w:t>
      </w:r>
      <w:r w:rsidRPr="00BF650B">
        <w:rPr>
          <w:rFonts w:ascii="Tw Cen MT" w:hAnsi="Tw Cen MT"/>
        </w:rPr>
        <w:t>You may revoke this authorization at any time.</w:t>
      </w:r>
      <w:r w:rsidR="00654DFE">
        <w:rPr>
          <w:rFonts w:ascii="Tw Cen MT" w:hAnsi="Tw Cen MT"/>
        </w:rPr>
        <w:t xml:space="preserve"> </w:t>
      </w:r>
      <w:r w:rsidR="0094738E">
        <w:rPr>
          <w:rFonts w:ascii="Tw Cen MT" w:hAnsi="Tw Cen MT"/>
        </w:rPr>
        <w:t>If Client requests documents or information in paper format, any such request will not be deemed by the Adviser as a request to revoke electronic delivery.</w:t>
      </w:r>
    </w:p>
    <w:p w14:paraId="48DC89C5" w14:textId="1A66D0FE" w:rsidR="009553CD" w:rsidRPr="00BF650B" w:rsidRDefault="009553CD" w:rsidP="009553CD">
      <w:pPr>
        <w:rPr>
          <w:rFonts w:ascii="Tw Cen MT" w:hAnsi="Tw Cen MT"/>
        </w:rPr>
      </w:pPr>
      <w:r w:rsidRPr="00BF650B">
        <w:rPr>
          <w:rFonts w:ascii="Tw Cen MT" w:hAnsi="Tw Cen MT"/>
        </w:rPr>
        <w:t xml:space="preserve">Client shall notify </w:t>
      </w:r>
      <w:r w:rsidR="00EA3400">
        <w:rPr>
          <w:rFonts w:ascii="Tw Cen MT" w:hAnsi="Tw Cen MT"/>
        </w:rPr>
        <w:t>Adviser</w:t>
      </w:r>
      <w:r w:rsidRPr="00BF650B">
        <w:rPr>
          <w:rFonts w:ascii="Tw Cen MT" w:hAnsi="Tw Cen MT"/>
        </w:rPr>
        <w:t xml:space="preserve">, in writing, of any changes to Client’s email address. Until notified, </w:t>
      </w:r>
      <w:r w:rsidR="00035139" w:rsidRPr="00BF650B">
        <w:rPr>
          <w:rFonts w:ascii="Tw Cen MT" w:hAnsi="Tw Cen MT"/>
        </w:rPr>
        <w:t xml:space="preserve">the </w:t>
      </w:r>
      <w:r w:rsidR="00EA3400">
        <w:rPr>
          <w:rFonts w:ascii="Tw Cen MT" w:hAnsi="Tw Cen MT"/>
        </w:rPr>
        <w:t>Adviser</w:t>
      </w:r>
      <w:r w:rsidRPr="00BF650B">
        <w:rPr>
          <w:rFonts w:ascii="Tw Cen MT" w:hAnsi="Tw Cen MT"/>
        </w:rPr>
        <w:t xml:space="preserve"> shall rely on the </w:t>
      </w:r>
      <w:r w:rsidR="00E120EE">
        <w:rPr>
          <w:rFonts w:ascii="Tw Cen MT" w:hAnsi="Tw Cen MT"/>
        </w:rPr>
        <w:t>most recent</w:t>
      </w:r>
      <w:r w:rsidRPr="00BF650B">
        <w:rPr>
          <w:rFonts w:ascii="Tw Cen MT" w:hAnsi="Tw Cen MT"/>
        </w:rPr>
        <w:t xml:space="preserve"> email address provided by </w:t>
      </w:r>
      <w:r w:rsidR="00E120EE" w:rsidRPr="00BF650B">
        <w:rPr>
          <w:rFonts w:ascii="Tw Cen MT" w:hAnsi="Tw Cen MT"/>
        </w:rPr>
        <w:t>the Client</w:t>
      </w:r>
      <w:r w:rsidRPr="00BF650B">
        <w:rPr>
          <w:rFonts w:ascii="Tw Cen MT" w:hAnsi="Tw Cen MT"/>
        </w:rPr>
        <w:t>. Client acknowledges that he or she has the ongoing ability to receive and open standard electronic mail and corresponding electronic documents</w:t>
      </w:r>
      <w:r w:rsidR="00DC5B54" w:rsidRPr="00BF650B">
        <w:rPr>
          <w:rFonts w:ascii="Tw Cen MT" w:hAnsi="Tw Cen MT"/>
        </w:rPr>
        <w:t xml:space="preserve">. </w:t>
      </w:r>
      <w:r w:rsidRPr="00BF650B">
        <w:rPr>
          <w:rFonts w:ascii="Tw Cen MT" w:hAnsi="Tw Cen MT"/>
        </w:rPr>
        <w:t xml:space="preserve">If, at any time, Client's electronic delivery situation changes, or Client is unable to open a specific document, Client agrees to immediately notify </w:t>
      </w:r>
      <w:r w:rsidR="00EA3400">
        <w:rPr>
          <w:rFonts w:ascii="Tw Cen MT" w:hAnsi="Tw Cen MT"/>
        </w:rPr>
        <w:t>Adviser</w:t>
      </w:r>
      <w:r w:rsidRPr="00BF650B">
        <w:rPr>
          <w:rFonts w:ascii="Tw Cen MT" w:hAnsi="Tw Cen MT"/>
        </w:rPr>
        <w:t xml:space="preserve"> so that the specific issue can be addressed and resolved</w:t>
      </w:r>
      <w:r w:rsidR="00DC5B54" w:rsidRPr="00BF650B">
        <w:rPr>
          <w:rFonts w:ascii="Tw Cen MT" w:hAnsi="Tw Cen MT"/>
        </w:rPr>
        <w:t xml:space="preserve">. </w:t>
      </w:r>
    </w:p>
    <w:p w14:paraId="4F9E1771" w14:textId="0AAEB298" w:rsidR="009553CD" w:rsidRPr="00BF650B" w:rsidRDefault="004B7AB7" w:rsidP="009553CD">
      <w:pPr>
        <w:rPr>
          <w:rFonts w:ascii="Tw Cen MT" w:hAnsi="Tw Cen MT"/>
        </w:rPr>
      </w:pPr>
      <w:r>
        <w:rPr>
          <w:rFonts w:ascii="Tw Cen MT" w:hAnsi="Tw Cen MT"/>
        </w:rPr>
        <w:t xml:space="preserve">By the providing one or more email addresses in Section </w:t>
      </w:r>
      <w:r w:rsidR="0017403E">
        <w:rPr>
          <w:rFonts w:ascii="Tw Cen MT" w:hAnsi="Tw Cen MT"/>
        </w:rPr>
        <w:t>20</w:t>
      </w:r>
      <w:r>
        <w:rPr>
          <w:rFonts w:ascii="Tw Cen MT" w:hAnsi="Tw Cen MT"/>
        </w:rPr>
        <w:t xml:space="preserve"> of this Agreement, the Client a</w:t>
      </w:r>
      <w:r w:rsidR="00E3181F">
        <w:rPr>
          <w:rFonts w:ascii="Tw Cen MT" w:hAnsi="Tw Cen MT"/>
        </w:rPr>
        <w:t>uthorizes electronic delivery</w:t>
      </w:r>
      <w:r w:rsidR="00B220B8">
        <w:rPr>
          <w:rFonts w:ascii="Tw Cen MT" w:hAnsi="Tw Cen MT"/>
        </w:rPr>
        <w:t xml:space="preserve">, </w:t>
      </w:r>
      <w:r w:rsidR="0079768E">
        <w:rPr>
          <w:rFonts w:ascii="Tw Cen MT" w:hAnsi="Tw Cen MT"/>
        </w:rPr>
        <w:t>acknowledges,</w:t>
      </w:r>
      <w:r w:rsidR="00B220B8">
        <w:rPr>
          <w:rFonts w:ascii="Tw Cen MT" w:hAnsi="Tw Cen MT"/>
        </w:rPr>
        <w:t xml:space="preserve"> and agrees that this electronic delivery authorization </w:t>
      </w:r>
      <w:r w:rsidR="0079768E">
        <w:rPr>
          <w:rFonts w:ascii="Tw Cen MT" w:hAnsi="Tw Cen MT"/>
        </w:rPr>
        <w:t>pertains only to</w:t>
      </w:r>
      <w:r w:rsidR="00B220B8">
        <w:rPr>
          <w:rFonts w:ascii="Tw Cen MT" w:hAnsi="Tw Cen MT"/>
        </w:rPr>
        <w:t xml:space="preserve"> documents </w:t>
      </w:r>
      <w:r w:rsidR="004F095F">
        <w:rPr>
          <w:rFonts w:ascii="Tw Cen MT" w:hAnsi="Tw Cen MT"/>
        </w:rPr>
        <w:t xml:space="preserve">sent from the </w:t>
      </w:r>
      <w:r w:rsidR="00EA3400">
        <w:rPr>
          <w:rFonts w:ascii="Tw Cen MT" w:hAnsi="Tw Cen MT"/>
        </w:rPr>
        <w:t>Adviser</w:t>
      </w:r>
      <w:r w:rsidR="004F095F">
        <w:rPr>
          <w:rFonts w:ascii="Tw Cen MT" w:hAnsi="Tw Cen MT"/>
        </w:rPr>
        <w:t xml:space="preserve">, and warrants that the Client is the rightful owner </w:t>
      </w:r>
      <w:r w:rsidR="000F71B7">
        <w:rPr>
          <w:rFonts w:ascii="Tw Cen MT" w:hAnsi="Tw Cen MT"/>
        </w:rPr>
        <w:t xml:space="preserve">of any email addresses provided to the </w:t>
      </w:r>
      <w:r w:rsidR="00EA3400">
        <w:rPr>
          <w:rFonts w:ascii="Tw Cen MT" w:hAnsi="Tw Cen MT"/>
        </w:rPr>
        <w:t>Adviser</w:t>
      </w:r>
      <w:r w:rsidR="000F71B7">
        <w:rPr>
          <w:rFonts w:ascii="Tw Cen MT" w:hAnsi="Tw Cen MT"/>
        </w:rPr>
        <w:t>.</w:t>
      </w:r>
    </w:p>
    <w:p w14:paraId="6EEBDA68" w14:textId="3A2BE44A" w:rsidR="009553CD" w:rsidRPr="00BF650B" w:rsidRDefault="009553CD" w:rsidP="009553CD">
      <w:pPr>
        <w:pStyle w:val="Heading2"/>
      </w:pPr>
      <w:r w:rsidRPr="00BF650B">
        <w:t xml:space="preserve">Section </w:t>
      </w:r>
      <w:r w:rsidR="000A1879">
        <w:t>7</w:t>
      </w:r>
      <w:r w:rsidRPr="00BF650B">
        <w:t xml:space="preserve"> – Other Clients</w:t>
      </w:r>
    </w:p>
    <w:p w14:paraId="36001459" w14:textId="5F30E5DA" w:rsidR="009553CD" w:rsidRPr="00BF650B" w:rsidRDefault="009553CD" w:rsidP="00BC582A">
      <w:pPr>
        <w:rPr>
          <w:rFonts w:ascii="Tw Cen MT" w:hAnsi="Tw Cen MT"/>
        </w:rPr>
      </w:pPr>
      <w:r w:rsidRPr="00BF650B">
        <w:rPr>
          <w:rFonts w:ascii="Tw Cen MT" w:hAnsi="Tw Cen MT"/>
        </w:rPr>
        <w:t xml:space="preserve">Client acknowledges that </w:t>
      </w:r>
      <w:r w:rsidR="00EA3400">
        <w:rPr>
          <w:rFonts w:ascii="Tw Cen MT" w:hAnsi="Tw Cen MT"/>
        </w:rPr>
        <w:t>Adviser</w:t>
      </w:r>
      <w:r w:rsidRPr="00BF650B">
        <w:rPr>
          <w:rFonts w:ascii="Tw Cen MT" w:hAnsi="Tw Cen MT"/>
        </w:rPr>
        <w:t xml:space="preserve"> acts as investment </w:t>
      </w:r>
      <w:r w:rsidR="00EA3400">
        <w:rPr>
          <w:rFonts w:ascii="Tw Cen MT" w:hAnsi="Tw Cen MT"/>
        </w:rPr>
        <w:t>Adviser</w:t>
      </w:r>
      <w:r w:rsidRPr="00BF650B">
        <w:rPr>
          <w:rFonts w:ascii="Tw Cen MT" w:hAnsi="Tw Cen MT"/>
        </w:rPr>
        <w:t xml:space="preserve"> to other clients and may give advice or act with respect to any of those other clients (including clients with investment objectives that are similar to those of Client) that may differ from the advice given, or </w:t>
      </w:r>
      <w:r w:rsidR="009B1F9E" w:rsidRPr="00BF650B">
        <w:rPr>
          <w:rFonts w:ascii="Tw Cen MT" w:hAnsi="Tw Cen MT"/>
        </w:rPr>
        <w:t>the timing</w:t>
      </w:r>
      <w:r w:rsidRPr="00BF650B">
        <w:rPr>
          <w:rFonts w:ascii="Tw Cen MT" w:hAnsi="Tw Cen MT"/>
        </w:rPr>
        <w:t xml:space="preserve"> or nature of action taken, with respect to the Account.  </w:t>
      </w:r>
      <w:r w:rsidR="00035139" w:rsidRPr="00BF650B">
        <w:rPr>
          <w:rFonts w:ascii="Tw Cen MT" w:hAnsi="Tw Cen MT"/>
        </w:rPr>
        <w:t xml:space="preserve">The </w:t>
      </w:r>
      <w:r w:rsidR="00EA3400">
        <w:rPr>
          <w:rFonts w:ascii="Tw Cen MT" w:hAnsi="Tw Cen MT"/>
        </w:rPr>
        <w:t>Adviser</w:t>
      </w:r>
      <w:r w:rsidRPr="00BF650B">
        <w:rPr>
          <w:rFonts w:ascii="Tw Cen MT" w:hAnsi="Tw Cen MT"/>
        </w:rPr>
        <w:t xml:space="preserve"> agrees that, to the extent practicable, these investment opportunities will be allocated among clients over a period of time on a fair and equitable basis.</w:t>
      </w:r>
    </w:p>
    <w:p w14:paraId="49C6942D" w14:textId="2DD21B13" w:rsidR="009553CD" w:rsidRPr="00BF650B" w:rsidRDefault="009553CD" w:rsidP="009553CD">
      <w:pPr>
        <w:pStyle w:val="Heading2"/>
      </w:pPr>
      <w:r w:rsidRPr="00BF650B">
        <w:t xml:space="preserve">Section </w:t>
      </w:r>
      <w:r w:rsidR="000A1879">
        <w:t>8</w:t>
      </w:r>
      <w:r w:rsidRPr="00BF650B">
        <w:t xml:space="preserve"> – Client Acknowledgement of Risks</w:t>
      </w:r>
    </w:p>
    <w:p w14:paraId="343DBF3A" w14:textId="55C7BAA2" w:rsidR="00CF1D69" w:rsidRPr="00CF1D69" w:rsidRDefault="00CF1D69" w:rsidP="00CF1D69">
      <w:pPr>
        <w:pStyle w:val="NoSpacing"/>
        <w:rPr>
          <w:rFonts w:ascii="Tw Cen MT" w:hAnsi="Tw Cen MT"/>
        </w:rPr>
      </w:pPr>
      <w:r>
        <w:rPr>
          <w:rFonts w:ascii="Tw Cen MT" w:hAnsi="Tw Cen MT"/>
        </w:rPr>
        <w:t xml:space="preserve">The </w:t>
      </w:r>
      <w:r w:rsidRPr="00CF1D69">
        <w:rPr>
          <w:rFonts w:ascii="Tw Cen MT" w:hAnsi="Tw Cen MT"/>
        </w:rPr>
        <w:t xml:space="preserve">Client will provide </w:t>
      </w:r>
      <w:r>
        <w:rPr>
          <w:rFonts w:ascii="Tw Cen MT" w:hAnsi="Tw Cen MT"/>
        </w:rPr>
        <w:t xml:space="preserve">the </w:t>
      </w:r>
      <w:r w:rsidRPr="00CF1D69">
        <w:rPr>
          <w:rFonts w:ascii="Tw Cen MT" w:hAnsi="Tw Cen MT"/>
        </w:rPr>
        <w:t>Adviser with complete information about the Client’s investment needs and objectives and will notify the Adviser promptly of any significant changes in the information provided.</w:t>
      </w:r>
    </w:p>
    <w:p w14:paraId="3669BE4C" w14:textId="77777777" w:rsidR="00CF1D69" w:rsidRDefault="00CF1D69" w:rsidP="00CF1D69">
      <w:pPr>
        <w:pStyle w:val="NoSpacing"/>
        <w:rPr>
          <w:rFonts w:ascii="Tw Cen MT" w:hAnsi="Tw Cen MT"/>
        </w:rPr>
      </w:pPr>
    </w:p>
    <w:p w14:paraId="48BA1C42" w14:textId="77777777" w:rsidR="00404BBA" w:rsidRDefault="00CF1D69" w:rsidP="00CF1D69">
      <w:pPr>
        <w:pStyle w:val="NoSpacing"/>
        <w:rPr>
          <w:rFonts w:ascii="Tw Cen MT" w:hAnsi="Tw Cen MT"/>
        </w:rPr>
      </w:pPr>
      <w:r>
        <w:rPr>
          <w:rFonts w:ascii="Tw Cen MT" w:hAnsi="Tw Cen MT"/>
        </w:rPr>
        <w:t xml:space="preserve">The </w:t>
      </w:r>
      <w:r w:rsidRPr="00CF1D69">
        <w:rPr>
          <w:rFonts w:ascii="Tw Cen MT" w:hAnsi="Tw Cen MT"/>
        </w:rPr>
        <w:t>Client is responsible for ensuring the completeness and accuracy of all Account applications and will inform the Adviser in writing of any special instructions or limitations for managing the Assets. </w:t>
      </w:r>
    </w:p>
    <w:p w14:paraId="01716D11" w14:textId="486D8646" w:rsidR="00404BBA" w:rsidRPr="00CF1D69" w:rsidRDefault="00404BBA" w:rsidP="00CF1D69">
      <w:pPr>
        <w:pStyle w:val="NoSpacing"/>
        <w:rPr>
          <w:rFonts w:ascii="Tw Cen MT" w:hAnsi="Tw Cen MT"/>
        </w:rPr>
      </w:pPr>
      <w:r>
        <w:rPr>
          <w:rFonts w:ascii="Tw Cen MT" w:hAnsi="Tw Cen MT"/>
        </w:rPr>
        <w:t xml:space="preserve">The </w:t>
      </w:r>
      <w:r w:rsidRPr="00404BBA">
        <w:rPr>
          <w:rFonts w:ascii="Tw Cen MT" w:hAnsi="Tw Cen MT"/>
        </w:rPr>
        <w:t xml:space="preserve">Client understands the investment </w:t>
      </w:r>
      <w:r w:rsidR="00EA3400">
        <w:rPr>
          <w:rFonts w:ascii="Tw Cen MT" w:hAnsi="Tw Cen MT"/>
        </w:rPr>
        <w:t>Advisory</w:t>
      </w:r>
      <w:r w:rsidRPr="00404BBA">
        <w:rPr>
          <w:rFonts w:ascii="Tw Cen MT" w:hAnsi="Tw Cen MT"/>
        </w:rPr>
        <w:t xml:space="preserve"> services to be provided by </w:t>
      </w:r>
      <w:r>
        <w:rPr>
          <w:rFonts w:ascii="Tw Cen MT" w:hAnsi="Tw Cen MT"/>
        </w:rPr>
        <w:t xml:space="preserve">the </w:t>
      </w:r>
      <w:r w:rsidRPr="00404BBA">
        <w:rPr>
          <w:rFonts w:ascii="Tw Cen MT" w:hAnsi="Tw Cen MT"/>
        </w:rPr>
        <w:t>Adviser (directly and indirectly) and has had an opportunity to review materials and ask questions about those services.</w:t>
      </w:r>
    </w:p>
    <w:p w14:paraId="560A96E2" w14:textId="77777777" w:rsidR="00CF1D69" w:rsidRDefault="00CF1D69" w:rsidP="00B77673">
      <w:pPr>
        <w:pStyle w:val="NoSpacing"/>
        <w:rPr>
          <w:rFonts w:ascii="Tw Cen MT" w:hAnsi="Tw Cen MT"/>
        </w:rPr>
      </w:pPr>
    </w:p>
    <w:p w14:paraId="60CF502E" w14:textId="4F314390" w:rsidR="00B77673" w:rsidRPr="00BF650B" w:rsidRDefault="00404BBA" w:rsidP="00B77673">
      <w:pPr>
        <w:pStyle w:val="NoSpacing"/>
        <w:rPr>
          <w:rFonts w:ascii="Tw Cen MT" w:hAnsi="Tw Cen MT"/>
        </w:rPr>
      </w:pPr>
      <w:r>
        <w:rPr>
          <w:rFonts w:ascii="Tw Cen MT" w:hAnsi="Tw Cen MT"/>
        </w:rPr>
        <w:t xml:space="preserve">The </w:t>
      </w:r>
      <w:r w:rsidR="009553CD" w:rsidRPr="00BF650B">
        <w:rPr>
          <w:rFonts w:ascii="Tw Cen MT" w:hAnsi="Tw Cen MT"/>
        </w:rPr>
        <w:t xml:space="preserve">Client understands that investment advice and recommendations made for the Account(s) by </w:t>
      </w:r>
      <w:r w:rsidR="00EA3400">
        <w:rPr>
          <w:rFonts w:ascii="Tw Cen MT" w:hAnsi="Tw Cen MT"/>
        </w:rPr>
        <w:t>Adviser</w:t>
      </w:r>
      <w:r w:rsidR="009553CD" w:rsidRPr="00BF650B">
        <w:rPr>
          <w:rFonts w:ascii="Tw Cen MT" w:hAnsi="Tw Cen MT"/>
        </w:rPr>
        <w:t xml:space="preserve"> are subject to various risks, including, but not limited to, market, currency, economic, business, political and geopolitical risks, and that those investment recommendations may not always be profitable</w:t>
      </w:r>
      <w:r w:rsidR="00DC5B54" w:rsidRPr="00BF650B">
        <w:rPr>
          <w:rFonts w:ascii="Tw Cen MT" w:hAnsi="Tw Cen MT"/>
        </w:rPr>
        <w:t xml:space="preserve">. </w:t>
      </w:r>
      <w:r w:rsidR="00CB24BD">
        <w:rPr>
          <w:rFonts w:ascii="Tw Cen MT" w:hAnsi="Tw Cen MT"/>
        </w:rPr>
        <w:t xml:space="preserve">The </w:t>
      </w:r>
      <w:r w:rsidR="00EA3400">
        <w:rPr>
          <w:rFonts w:ascii="Tw Cen MT" w:hAnsi="Tw Cen MT"/>
        </w:rPr>
        <w:t>Adviser</w:t>
      </w:r>
      <w:r w:rsidR="009553CD" w:rsidRPr="00BF650B">
        <w:rPr>
          <w:rFonts w:ascii="Tw Cen MT" w:hAnsi="Tw Cen MT"/>
        </w:rPr>
        <w:t xml:space="preserve"> does not, and cannot, guarantee the future performance of the Account(s) or any specific level of performance, the success of any investment strategy that </w:t>
      </w:r>
      <w:r w:rsidR="00EA3400">
        <w:rPr>
          <w:rFonts w:ascii="Tw Cen MT" w:hAnsi="Tw Cen MT"/>
        </w:rPr>
        <w:t>Adviser</w:t>
      </w:r>
      <w:r w:rsidR="009553CD" w:rsidRPr="00BF650B">
        <w:rPr>
          <w:rFonts w:ascii="Tw Cen MT" w:hAnsi="Tw Cen MT"/>
        </w:rPr>
        <w:t xml:space="preserve"> may use, or the success of </w:t>
      </w:r>
      <w:r w:rsidR="00EA3400">
        <w:rPr>
          <w:rFonts w:ascii="Tw Cen MT" w:hAnsi="Tw Cen MT"/>
        </w:rPr>
        <w:t>Adviser</w:t>
      </w:r>
      <w:r w:rsidR="009553CD" w:rsidRPr="00BF650B">
        <w:rPr>
          <w:rFonts w:ascii="Tw Cen MT" w:hAnsi="Tw Cen MT"/>
        </w:rPr>
        <w:t>’s overall handling of the Account(s).</w:t>
      </w:r>
    </w:p>
    <w:p w14:paraId="21F89625" w14:textId="77777777" w:rsidR="00B77673" w:rsidRPr="00BF650B" w:rsidRDefault="00B77673" w:rsidP="00B77673">
      <w:pPr>
        <w:pStyle w:val="NoSpacing"/>
        <w:rPr>
          <w:rFonts w:ascii="Tw Cen MT" w:hAnsi="Tw Cen MT"/>
        </w:rPr>
      </w:pPr>
    </w:p>
    <w:p w14:paraId="60A4B78E" w14:textId="1DC9B558" w:rsidR="009553CD" w:rsidRPr="00BF650B" w:rsidRDefault="0099743D" w:rsidP="00904D01">
      <w:pPr>
        <w:pStyle w:val="NoSpacing"/>
        <w:rPr>
          <w:rFonts w:ascii="Tw Cen MT" w:hAnsi="Tw Cen MT"/>
        </w:rPr>
      </w:pPr>
      <w:r w:rsidRPr="00BF650B">
        <w:rPr>
          <w:rFonts w:ascii="Tw Cen MT" w:hAnsi="Tw Cen MT"/>
        </w:rPr>
        <w:t xml:space="preserve">The </w:t>
      </w:r>
      <w:r w:rsidR="00EA3400">
        <w:rPr>
          <w:rFonts w:ascii="Tw Cen MT" w:hAnsi="Tw Cen MT"/>
        </w:rPr>
        <w:t>Adviser</w:t>
      </w:r>
      <w:r w:rsidR="009553CD" w:rsidRPr="00BF650B">
        <w:rPr>
          <w:rFonts w:ascii="Tw Cen MT" w:hAnsi="Tw Cen MT"/>
        </w:rPr>
        <w:t xml:space="preserve"> will only provide investment </w:t>
      </w:r>
      <w:r w:rsidR="00EA3400">
        <w:rPr>
          <w:rFonts w:ascii="Tw Cen MT" w:hAnsi="Tw Cen MT"/>
        </w:rPr>
        <w:t>Advisory</w:t>
      </w:r>
      <w:r w:rsidR="009553CD" w:rsidRPr="00BF650B">
        <w:rPr>
          <w:rFonts w:ascii="Tw Cen MT" w:hAnsi="Tw Cen MT"/>
        </w:rPr>
        <w:t xml:space="preserve"> services with regard to the securities, investments, cash, and other assets </w:t>
      </w:r>
      <w:r>
        <w:rPr>
          <w:rFonts w:ascii="Tw Cen MT" w:hAnsi="Tw Cen MT"/>
        </w:rPr>
        <w:t xml:space="preserve">held in accounts listed in Appendix A or otherwise agreed to in writing between the Client and the </w:t>
      </w:r>
      <w:r w:rsidR="00EA3400">
        <w:rPr>
          <w:rFonts w:ascii="Tw Cen MT" w:hAnsi="Tw Cen MT"/>
        </w:rPr>
        <w:t>Adviser</w:t>
      </w:r>
      <w:r>
        <w:rPr>
          <w:rFonts w:ascii="Tw Cen MT" w:hAnsi="Tw Cen MT"/>
        </w:rPr>
        <w:t>.</w:t>
      </w:r>
      <w:r w:rsidR="00A54FB6" w:rsidRPr="00BF650B">
        <w:rPr>
          <w:rFonts w:ascii="Tw Cen MT" w:hAnsi="Tw Cen MT"/>
        </w:rPr>
        <w:t xml:space="preserve"> </w:t>
      </w:r>
      <w:r w:rsidR="001A5D83" w:rsidRPr="00BF650B">
        <w:rPr>
          <w:rFonts w:ascii="Tw Cen MT" w:hAnsi="Tw Cen MT"/>
        </w:rPr>
        <w:t>Client understands and agrees that any assets or accounts</w:t>
      </w:r>
      <w:r w:rsidR="000A1879">
        <w:rPr>
          <w:rFonts w:ascii="Tw Cen MT" w:hAnsi="Tw Cen MT"/>
        </w:rPr>
        <w:t xml:space="preserve"> </w:t>
      </w:r>
      <w:r w:rsidR="00DB065C">
        <w:rPr>
          <w:rFonts w:ascii="Tw Cen MT" w:hAnsi="Tw Cen MT"/>
        </w:rPr>
        <w:t>not</w:t>
      </w:r>
      <w:r w:rsidR="001A5D83" w:rsidRPr="00BF650B">
        <w:rPr>
          <w:rFonts w:ascii="Tw Cen MT" w:hAnsi="Tw Cen MT"/>
        </w:rPr>
        <w:t xml:space="preserve"> owned by </w:t>
      </w:r>
      <w:r w:rsidR="00A54FB6" w:rsidRPr="00BF650B">
        <w:rPr>
          <w:rFonts w:ascii="Tw Cen MT" w:hAnsi="Tw Cen MT"/>
        </w:rPr>
        <w:t xml:space="preserve">the </w:t>
      </w:r>
      <w:r w:rsidR="006C0BA5" w:rsidRPr="00BF650B">
        <w:rPr>
          <w:rFonts w:ascii="Tw Cen MT" w:hAnsi="Tw Cen MT"/>
        </w:rPr>
        <w:t>Client are not covered by this agreement.</w:t>
      </w:r>
      <w:r w:rsidR="009553CD" w:rsidRPr="00BF650B">
        <w:rPr>
          <w:rFonts w:ascii="Tw Cen MT" w:hAnsi="Tw Cen MT"/>
        </w:rPr>
        <w:t xml:space="preserve"> </w:t>
      </w:r>
    </w:p>
    <w:p w14:paraId="454ED9C1" w14:textId="77777777" w:rsidR="00B77673" w:rsidRPr="00BF650B" w:rsidRDefault="00B77673" w:rsidP="00B77673">
      <w:pPr>
        <w:pStyle w:val="NoSpacing"/>
        <w:rPr>
          <w:rFonts w:ascii="Tw Cen MT" w:hAnsi="Tw Cen MT"/>
        </w:rPr>
      </w:pPr>
    </w:p>
    <w:p w14:paraId="2A22A305" w14:textId="076FD477" w:rsidR="009553CD" w:rsidRPr="00BF650B" w:rsidRDefault="009553CD" w:rsidP="00B77673">
      <w:pPr>
        <w:pStyle w:val="NoSpacing"/>
        <w:rPr>
          <w:rFonts w:ascii="Tw Cen MT" w:hAnsi="Tw Cen MT"/>
        </w:rPr>
      </w:pPr>
      <w:r w:rsidRPr="00BF650B">
        <w:rPr>
          <w:rFonts w:ascii="Tw Cen MT" w:hAnsi="Tw Cen MT"/>
        </w:rPr>
        <w:lastRenderedPageBreak/>
        <w:t xml:space="preserve">Client acknowledges that </w:t>
      </w:r>
      <w:r w:rsidR="00EA3400">
        <w:rPr>
          <w:rFonts w:ascii="Tw Cen MT" w:hAnsi="Tw Cen MT"/>
        </w:rPr>
        <w:t>Adviser</w:t>
      </w:r>
      <w:r w:rsidRPr="00BF650B">
        <w:rPr>
          <w:rFonts w:ascii="Tw Cen MT" w:hAnsi="Tw Cen MT"/>
        </w:rPr>
        <w:t xml:space="preserve">’s duties and responsibilities under this Agreement with regard to individual securities or accounts of Client that are being transferred to an </w:t>
      </w:r>
      <w:r w:rsidR="00EA3400">
        <w:rPr>
          <w:rFonts w:ascii="Tw Cen MT" w:hAnsi="Tw Cen MT"/>
        </w:rPr>
        <w:t>Adviser</w:t>
      </w:r>
      <w:r w:rsidRPr="00BF650B">
        <w:rPr>
          <w:rFonts w:ascii="Tw Cen MT" w:hAnsi="Tw Cen MT"/>
        </w:rPr>
        <w:t xml:space="preserve">-managed brokerage account shall begin when the securities transfer has been completed and the </w:t>
      </w:r>
      <w:r w:rsidR="00EA3400">
        <w:rPr>
          <w:rFonts w:ascii="Tw Cen MT" w:hAnsi="Tw Cen MT"/>
        </w:rPr>
        <w:t>Adviser</w:t>
      </w:r>
      <w:r w:rsidRPr="00BF650B">
        <w:rPr>
          <w:rFonts w:ascii="Tw Cen MT" w:hAnsi="Tw Cen MT"/>
        </w:rPr>
        <w:t xml:space="preserve"> may sell or take other action with respect to the account or the securities.</w:t>
      </w:r>
    </w:p>
    <w:p w14:paraId="27A173B2" w14:textId="77777777" w:rsidR="00B77673" w:rsidRPr="00BF650B" w:rsidRDefault="00B77673" w:rsidP="00B77673">
      <w:pPr>
        <w:pStyle w:val="NoSpacing"/>
        <w:rPr>
          <w:rFonts w:ascii="Tw Cen MT" w:hAnsi="Tw Cen MT"/>
        </w:rPr>
      </w:pPr>
    </w:p>
    <w:p w14:paraId="37053DD6" w14:textId="560CC777" w:rsidR="009553CD" w:rsidRPr="00BF650B" w:rsidRDefault="00D75B40" w:rsidP="00B77673">
      <w:pPr>
        <w:pStyle w:val="NoSpacing"/>
        <w:rPr>
          <w:rFonts w:ascii="Tw Cen MT" w:hAnsi="Tw Cen MT"/>
        </w:rPr>
      </w:pPr>
      <w:r w:rsidRPr="00BF650B">
        <w:rPr>
          <w:rFonts w:ascii="Tw Cen MT" w:hAnsi="Tw Cen MT"/>
        </w:rPr>
        <w:t xml:space="preserve">The </w:t>
      </w:r>
      <w:r>
        <w:rPr>
          <w:rFonts w:ascii="Tw Cen MT" w:hAnsi="Tw Cen MT"/>
        </w:rPr>
        <w:t>C</w:t>
      </w:r>
      <w:r w:rsidRPr="00BF650B">
        <w:rPr>
          <w:rFonts w:ascii="Tw Cen MT" w:hAnsi="Tw Cen MT"/>
        </w:rPr>
        <w:t>lient</w:t>
      </w:r>
      <w:r w:rsidR="009553CD" w:rsidRPr="00BF650B">
        <w:rPr>
          <w:rFonts w:ascii="Tw Cen MT" w:hAnsi="Tw Cen MT"/>
        </w:rPr>
        <w:t xml:space="preserve"> agrees to promptly notify and discuss with the </w:t>
      </w:r>
      <w:r w:rsidR="00EA3400">
        <w:rPr>
          <w:rFonts w:ascii="Tw Cen MT" w:hAnsi="Tw Cen MT"/>
        </w:rPr>
        <w:t>Adviser</w:t>
      </w:r>
      <w:r w:rsidR="009553CD" w:rsidRPr="00BF650B">
        <w:rPr>
          <w:rFonts w:ascii="Tw Cen MT" w:hAnsi="Tw Cen MT"/>
        </w:rPr>
        <w:t xml:space="preserve"> any significant change in Client’s financial circumstances or investment objectives that might affect the manner in which the Account(s) should be managed. </w:t>
      </w:r>
      <w:r w:rsidR="00035139" w:rsidRPr="00BF650B">
        <w:rPr>
          <w:rFonts w:ascii="Tw Cen MT" w:hAnsi="Tw Cen MT"/>
        </w:rPr>
        <w:t>The</w:t>
      </w:r>
      <w:r w:rsidR="009553CD" w:rsidRPr="00BF650B">
        <w:rPr>
          <w:rFonts w:ascii="Tw Cen MT" w:hAnsi="Tw Cen MT"/>
        </w:rPr>
        <w:t xml:space="preserve"> Client also agrees to provide </w:t>
      </w:r>
      <w:r w:rsidR="00F35288" w:rsidRPr="00BF650B">
        <w:rPr>
          <w:rFonts w:ascii="Tw Cen MT" w:hAnsi="Tw Cen MT"/>
        </w:rPr>
        <w:t xml:space="preserve">the </w:t>
      </w:r>
      <w:r w:rsidR="00EA3400">
        <w:rPr>
          <w:rFonts w:ascii="Tw Cen MT" w:hAnsi="Tw Cen MT"/>
        </w:rPr>
        <w:t>Adviser</w:t>
      </w:r>
      <w:r w:rsidR="009553CD" w:rsidRPr="00BF650B">
        <w:rPr>
          <w:rFonts w:ascii="Tw Cen MT" w:hAnsi="Tw Cen MT"/>
        </w:rPr>
        <w:t xml:space="preserve"> with such additional information as </w:t>
      </w:r>
      <w:r w:rsidRPr="00BF650B">
        <w:rPr>
          <w:rFonts w:ascii="Tw Cen MT" w:hAnsi="Tw Cen MT"/>
        </w:rPr>
        <w:t xml:space="preserve">the </w:t>
      </w:r>
      <w:r w:rsidR="00EA3400">
        <w:rPr>
          <w:rFonts w:ascii="Tw Cen MT" w:hAnsi="Tw Cen MT"/>
        </w:rPr>
        <w:t>Adviser</w:t>
      </w:r>
      <w:r w:rsidR="009553CD" w:rsidRPr="00BF650B">
        <w:rPr>
          <w:rFonts w:ascii="Tw Cen MT" w:hAnsi="Tw Cen MT"/>
        </w:rPr>
        <w:t xml:space="preserve"> may request from time to time to assist it in managing the Account(s).</w:t>
      </w:r>
    </w:p>
    <w:p w14:paraId="50B3FAA6" w14:textId="77777777" w:rsidR="001719B9" w:rsidRPr="00BF650B" w:rsidRDefault="001719B9" w:rsidP="00B77673">
      <w:pPr>
        <w:pStyle w:val="NoSpacing"/>
        <w:rPr>
          <w:rFonts w:ascii="Tw Cen MT" w:hAnsi="Tw Cen MT"/>
        </w:rPr>
      </w:pPr>
    </w:p>
    <w:p w14:paraId="53A64B9B" w14:textId="33717DCD" w:rsidR="003E02D9" w:rsidRPr="00BF650B" w:rsidRDefault="003E02D9" w:rsidP="003E02D9">
      <w:pPr>
        <w:pStyle w:val="Heading2"/>
      </w:pPr>
      <w:r w:rsidRPr="00BF650B">
        <w:t xml:space="preserve">Section </w:t>
      </w:r>
      <w:r w:rsidR="00166AA2">
        <w:t>9</w:t>
      </w:r>
      <w:r w:rsidRPr="00BF650B">
        <w:t xml:space="preserve"> – Proxy Voting</w:t>
      </w:r>
    </w:p>
    <w:p w14:paraId="6E20C7C5" w14:textId="70F6B64F" w:rsidR="003E02D9" w:rsidRPr="00BF650B" w:rsidRDefault="003E02D9" w:rsidP="00B77673">
      <w:pPr>
        <w:pStyle w:val="NoSpacing"/>
        <w:rPr>
          <w:rFonts w:ascii="Tw Cen MT" w:hAnsi="Tw Cen MT"/>
        </w:rPr>
      </w:pPr>
      <w:r w:rsidRPr="00BF650B">
        <w:rPr>
          <w:rFonts w:ascii="Tw Cen MT" w:hAnsi="Tw Cen MT"/>
        </w:rPr>
        <w:t xml:space="preserve">We do not </w:t>
      </w:r>
      <w:r w:rsidR="00CA78DC">
        <w:rPr>
          <w:rFonts w:ascii="Tw Cen MT" w:hAnsi="Tw Cen MT"/>
        </w:rPr>
        <w:t xml:space="preserve">retain proxy </w:t>
      </w:r>
      <w:r w:rsidR="008D46D6">
        <w:rPr>
          <w:rFonts w:ascii="Tw Cen MT" w:hAnsi="Tw Cen MT"/>
        </w:rPr>
        <w:t xml:space="preserve">voting </w:t>
      </w:r>
      <w:r w:rsidR="00CA78DC">
        <w:rPr>
          <w:rFonts w:ascii="Tw Cen MT" w:hAnsi="Tw Cen MT"/>
        </w:rPr>
        <w:t>authority</w:t>
      </w:r>
      <w:r w:rsidRPr="00BF650B">
        <w:rPr>
          <w:rFonts w:ascii="Tw Cen MT" w:hAnsi="Tw Cen MT"/>
        </w:rPr>
        <w:t>. You shall be responsible for: (1) directing the manner in which proxies solicited by issuers of securities beneficially owned by you shall be voted and (2) making all elections relative to any mergers, acquisitions, tender offers, bankruptcy proceedings</w:t>
      </w:r>
      <w:r w:rsidR="00FE4CB1">
        <w:rPr>
          <w:rFonts w:ascii="Tw Cen MT" w:hAnsi="Tw Cen MT"/>
        </w:rPr>
        <w:t>, class actions</w:t>
      </w:r>
      <w:r w:rsidRPr="00BF650B">
        <w:rPr>
          <w:rFonts w:ascii="Tw Cen MT" w:hAnsi="Tw Cen MT"/>
        </w:rPr>
        <w:t xml:space="preserve"> or other type events pertaining to the assets in your accounts.</w:t>
      </w:r>
    </w:p>
    <w:p w14:paraId="626A8385" w14:textId="77777777" w:rsidR="00B77673" w:rsidRPr="00BF650B" w:rsidRDefault="00B77673" w:rsidP="00B77673">
      <w:pPr>
        <w:pStyle w:val="NoSpacing"/>
        <w:rPr>
          <w:rFonts w:ascii="Tw Cen MT" w:hAnsi="Tw Cen MT"/>
        </w:rPr>
      </w:pPr>
    </w:p>
    <w:p w14:paraId="26616A7A" w14:textId="1796E738" w:rsidR="00195E12" w:rsidRPr="00BF650B" w:rsidRDefault="00195E12" w:rsidP="00B77673">
      <w:pPr>
        <w:pStyle w:val="Heading2"/>
        <w:rPr>
          <w:rFonts w:ascii="Tw Cen MT" w:eastAsia="Times New Roman" w:hAnsi="Tw Cen MT" w:cs="Microsoft Sans Serif"/>
        </w:rPr>
      </w:pPr>
      <w:r w:rsidRPr="00BF650B">
        <w:rPr>
          <w:rFonts w:eastAsia="Times New Roman"/>
        </w:rPr>
        <w:t xml:space="preserve">Section </w:t>
      </w:r>
      <w:r w:rsidR="00F75FEF" w:rsidRPr="00BF650B">
        <w:rPr>
          <w:rFonts w:eastAsia="Times New Roman"/>
        </w:rPr>
        <w:t>1</w:t>
      </w:r>
      <w:r w:rsidR="00166AA2">
        <w:rPr>
          <w:rFonts w:eastAsia="Times New Roman"/>
        </w:rPr>
        <w:t>0</w:t>
      </w:r>
      <w:r w:rsidRPr="00BF650B">
        <w:rPr>
          <w:rFonts w:eastAsia="Times New Roman"/>
        </w:rPr>
        <w:t xml:space="preserve"> – Discretionary Authority</w:t>
      </w:r>
    </w:p>
    <w:p w14:paraId="576C94FE" w14:textId="5A3C49EA" w:rsidR="00B77673" w:rsidRPr="00162B38" w:rsidRDefault="003461BD" w:rsidP="00ED787F">
      <w:pPr>
        <w:rPr>
          <w:rFonts w:ascii="Tw Cen MT" w:hAnsi="Tw Cen MT"/>
        </w:rPr>
      </w:pPr>
      <w:r>
        <w:rPr>
          <w:rFonts w:ascii="Tw Cen MT" w:hAnsi="Tw Cen MT"/>
        </w:rPr>
        <w:t>Unless otherwise provided for in this Agreement, t</w:t>
      </w:r>
      <w:r w:rsidR="00CE0E0A" w:rsidRPr="00162B38">
        <w:rPr>
          <w:rFonts w:ascii="Tw Cen MT" w:hAnsi="Tw Cen MT"/>
        </w:rPr>
        <w:t xml:space="preserve">he </w:t>
      </w:r>
      <w:r w:rsidR="00195E12" w:rsidRPr="00162B38">
        <w:rPr>
          <w:rFonts w:ascii="Tw Cen MT" w:hAnsi="Tw Cen MT"/>
        </w:rPr>
        <w:t xml:space="preserve">Client grants </w:t>
      </w:r>
      <w:r w:rsidR="00CE0E0A" w:rsidRPr="00162B38">
        <w:rPr>
          <w:rFonts w:ascii="Tw Cen MT" w:hAnsi="Tw Cen MT"/>
        </w:rPr>
        <w:t xml:space="preserve">the </w:t>
      </w:r>
      <w:r w:rsidR="00EA3400">
        <w:rPr>
          <w:rFonts w:ascii="Tw Cen MT" w:hAnsi="Tw Cen MT"/>
        </w:rPr>
        <w:t>Adviser</w:t>
      </w:r>
      <w:r w:rsidR="00195E12" w:rsidRPr="00162B38">
        <w:rPr>
          <w:rFonts w:ascii="Tw Cen MT" w:hAnsi="Tw Cen MT"/>
        </w:rPr>
        <w:t xml:space="preserve"> discretionary authority. Without prior consent from you, discretionary authority allows </w:t>
      </w:r>
      <w:r w:rsidR="00EC28B7" w:rsidRPr="00162B38">
        <w:rPr>
          <w:rFonts w:ascii="Tw Cen MT" w:hAnsi="Tw Cen MT"/>
        </w:rPr>
        <w:t xml:space="preserve">the </w:t>
      </w:r>
      <w:r w:rsidR="00EA3400">
        <w:rPr>
          <w:rFonts w:ascii="Tw Cen MT" w:hAnsi="Tw Cen MT"/>
        </w:rPr>
        <w:t>Adviser</w:t>
      </w:r>
      <w:r w:rsidR="00195E12" w:rsidRPr="00162B38">
        <w:rPr>
          <w:rFonts w:ascii="Tw Cen MT" w:hAnsi="Tw Cen MT"/>
        </w:rPr>
        <w:t xml:space="preserve"> to determine which securities to buy and sell, the </w:t>
      </w:r>
      <w:r w:rsidR="00162B38" w:rsidRPr="00162B38">
        <w:rPr>
          <w:rFonts w:ascii="Tw Cen MT" w:hAnsi="Tw Cen MT"/>
        </w:rPr>
        <w:t xml:space="preserve">number and dollar </w:t>
      </w:r>
      <w:r w:rsidR="00195E12" w:rsidRPr="00162B38">
        <w:rPr>
          <w:rFonts w:ascii="Tw Cen MT" w:hAnsi="Tw Cen MT"/>
        </w:rPr>
        <w:t>amount of securities to buy and sell</w:t>
      </w:r>
      <w:r w:rsidR="0037119D">
        <w:rPr>
          <w:rFonts w:ascii="Tw Cen MT" w:hAnsi="Tw Cen MT"/>
        </w:rPr>
        <w:t xml:space="preserve"> and</w:t>
      </w:r>
      <w:r w:rsidR="00F7638F">
        <w:rPr>
          <w:rFonts w:ascii="Tw Cen MT" w:hAnsi="Tw Cen MT"/>
        </w:rPr>
        <w:t xml:space="preserve"> </w:t>
      </w:r>
      <w:r w:rsidR="00195E12" w:rsidRPr="00162B38">
        <w:rPr>
          <w:rFonts w:ascii="Tw Cen MT" w:hAnsi="Tw Cen MT"/>
        </w:rPr>
        <w:t>the broker-dealer to be used for the purchase or sale of securities.</w:t>
      </w:r>
      <w:r w:rsidR="00F2019E" w:rsidRPr="00162B38">
        <w:rPr>
          <w:rFonts w:ascii="Tw Cen MT" w:hAnsi="Tw Cen MT"/>
        </w:rPr>
        <w:t xml:space="preserve"> </w:t>
      </w:r>
      <w:r w:rsidR="00162B38" w:rsidRPr="00162B38">
        <w:rPr>
          <w:rFonts w:ascii="Tw Cen MT" w:hAnsi="Tw Cen MT"/>
        </w:rPr>
        <w:t xml:space="preserve">The </w:t>
      </w:r>
      <w:r w:rsidR="00EA3400">
        <w:rPr>
          <w:rFonts w:ascii="Tw Cen MT" w:hAnsi="Tw Cen MT"/>
        </w:rPr>
        <w:t>Adviser</w:t>
      </w:r>
      <w:r w:rsidR="00FA3512" w:rsidRPr="00162B38">
        <w:rPr>
          <w:rFonts w:ascii="Tw Cen MT" w:hAnsi="Tw Cen MT"/>
        </w:rPr>
        <w:t xml:space="preserve"> may give a copy of this Agreement to any broker, dealer, or other party to a transaction for the Account(s), or the Custodian (as defined elsewhere in this agreement), as evidence of </w:t>
      </w:r>
      <w:r w:rsidR="00EA3400">
        <w:rPr>
          <w:rFonts w:ascii="Tw Cen MT" w:hAnsi="Tw Cen MT"/>
        </w:rPr>
        <w:t>Adviser</w:t>
      </w:r>
      <w:r w:rsidR="00FA3512" w:rsidRPr="00162B38">
        <w:rPr>
          <w:rFonts w:ascii="Tw Cen MT" w:hAnsi="Tw Cen MT"/>
        </w:rPr>
        <w:t xml:space="preserve">’s authority to act for Client. </w:t>
      </w:r>
      <w:r w:rsidR="00A63DFF" w:rsidRPr="00162B38">
        <w:rPr>
          <w:rFonts w:ascii="Tw Cen MT" w:hAnsi="Tw Cen MT"/>
        </w:rPr>
        <w:t xml:space="preserve">The </w:t>
      </w:r>
      <w:r w:rsidR="00EA3400">
        <w:rPr>
          <w:rFonts w:ascii="Tw Cen MT" w:hAnsi="Tw Cen MT"/>
        </w:rPr>
        <w:t>Adviser</w:t>
      </w:r>
      <w:r w:rsidR="00FA3512" w:rsidRPr="00162B38">
        <w:rPr>
          <w:rFonts w:ascii="Tw Cen MT" w:hAnsi="Tw Cen MT"/>
        </w:rPr>
        <w:t>’s authority under this Agreement will remain in effect until changed or terminated by Client in writing.</w:t>
      </w:r>
    </w:p>
    <w:p w14:paraId="73B9D607" w14:textId="5D48614D" w:rsidR="00202959" w:rsidRPr="00BF650B" w:rsidRDefault="00202959" w:rsidP="00202959">
      <w:pPr>
        <w:pStyle w:val="Heading2"/>
      </w:pPr>
      <w:r w:rsidRPr="00BF650B">
        <w:t>Section 1</w:t>
      </w:r>
      <w:r w:rsidR="00166AA2">
        <w:t>1</w:t>
      </w:r>
      <w:r w:rsidRPr="00BF650B">
        <w:t xml:space="preserve"> – Death or Disability</w:t>
      </w:r>
    </w:p>
    <w:p w14:paraId="14123944" w14:textId="6B0A23D0" w:rsidR="00202959" w:rsidRPr="00BF650B" w:rsidRDefault="00202959" w:rsidP="00B77673">
      <w:pPr>
        <w:pStyle w:val="NoSpacing"/>
        <w:rPr>
          <w:rFonts w:ascii="Tw Cen MT" w:hAnsi="Tw Cen MT"/>
        </w:rPr>
      </w:pPr>
      <w:r w:rsidRPr="00BF650B">
        <w:rPr>
          <w:rFonts w:ascii="Tw Cen MT" w:hAnsi="Tw Cen MT"/>
        </w:rPr>
        <w:t>If Client is a natural person, the death, disability, or incompetency of Client will not terminate or change the terms of this Agreement</w:t>
      </w:r>
      <w:r w:rsidR="00DC5B54" w:rsidRPr="00BF650B">
        <w:rPr>
          <w:rFonts w:ascii="Tw Cen MT" w:hAnsi="Tw Cen MT"/>
        </w:rPr>
        <w:t xml:space="preserve">. </w:t>
      </w:r>
      <w:r w:rsidRPr="00BF650B">
        <w:rPr>
          <w:rFonts w:ascii="Tw Cen MT" w:hAnsi="Tw Cen MT"/>
        </w:rPr>
        <w:t>However, Client’s executor, guardian, attorney-in-</w:t>
      </w:r>
      <w:r w:rsidR="006A45A3" w:rsidRPr="00BF650B">
        <w:rPr>
          <w:rFonts w:ascii="Tw Cen MT" w:hAnsi="Tw Cen MT"/>
        </w:rPr>
        <w:t>fact,</w:t>
      </w:r>
      <w:r w:rsidRPr="00BF650B">
        <w:rPr>
          <w:rFonts w:ascii="Tw Cen MT" w:hAnsi="Tw Cen MT"/>
        </w:rPr>
        <w:t xml:space="preserve"> or other authorized representative may terminate this Agreement by giving written notice to the </w:t>
      </w:r>
      <w:r w:rsidR="00EA3400">
        <w:rPr>
          <w:rFonts w:ascii="Tw Cen MT" w:hAnsi="Tw Cen MT"/>
        </w:rPr>
        <w:t>Adviser</w:t>
      </w:r>
      <w:r w:rsidRPr="00BF650B">
        <w:rPr>
          <w:rFonts w:ascii="Tw Cen MT" w:hAnsi="Tw Cen MT"/>
        </w:rPr>
        <w:t xml:space="preserve"> as provided in Section 1</w:t>
      </w:r>
      <w:r w:rsidR="00A63DFF">
        <w:rPr>
          <w:rFonts w:ascii="Tw Cen MT" w:hAnsi="Tw Cen MT"/>
        </w:rPr>
        <w:t>3</w:t>
      </w:r>
      <w:r w:rsidRPr="00BF650B">
        <w:rPr>
          <w:rFonts w:ascii="Tw Cen MT" w:hAnsi="Tw Cen MT"/>
        </w:rPr>
        <w:t xml:space="preserve"> herein.</w:t>
      </w:r>
      <w:r w:rsidR="00D57E3E" w:rsidRPr="00BF650B">
        <w:rPr>
          <w:rFonts w:ascii="Tw Cen MT" w:hAnsi="Tw Cen MT"/>
        </w:rPr>
        <w:t xml:space="preserve"> The Client</w:t>
      </w:r>
      <w:r w:rsidRPr="00BF650B">
        <w:rPr>
          <w:rFonts w:ascii="Tw Cen MT" w:hAnsi="Tw Cen MT"/>
        </w:rPr>
        <w:t xml:space="preserve"> </w:t>
      </w:r>
      <w:r w:rsidR="00745D18">
        <w:rPr>
          <w:rFonts w:ascii="Tw Cen MT" w:hAnsi="Tw Cen MT"/>
        </w:rPr>
        <w:t>acknowledges and accepts</w:t>
      </w:r>
      <w:r w:rsidR="00745D18" w:rsidRPr="00BF650B">
        <w:rPr>
          <w:rFonts w:ascii="Tw Cen MT" w:hAnsi="Tw Cen MT"/>
        </w:rPr>
        <w:t xml:space="preserve"> </w:t>
      </w:r>
      <w:r w:rsidRPr="00BF650B">
        <w:rPr>
          <w:rFonts w:ascii="Tw Cen MT" w:hAnsi="Tw Cen MT"/>
        </w:rPr>
        <w:t xml:space="preserve">that </w:t>
      </w:r>
      <w:r w:rsidR="00D57E3E" w:rsidRPr="00BF650B">
        <w:rPr>
          <w:rFonts w:ascii="Tw Cen MT" w:hAnsi="Tw Cen MT"/>
        </w:rPr>
        <w:t>the Custodian</w:t>
      </w:r>
      <w:r w:rsidRPr="00BF650B">
        <w:rPr>
          <w:rFonts w:ascii="Tw Cen MT" w:hAnsi="Tw Cen MT"/>
        </w:rPr>
        <w:t xml:space="preserve"> may not permit any further transactions in the Account(s) until such time as any documentation required is provided to </w:t>
      </w:r>
      <w:r w:rsidR="00035139" w:rsidRPr="00BF650B">
        <w:rPr>
          <w:rFonts w:ascii="Tw Cen MT" w:hAnsi="Tw Cen MT"/>
        </w:rPr>
        <w:t>the Custodian</w:t>
      </w:r>
      <w:r w:rsidR="00DC5B54" w:rsidRPr="00BF650B">
        <w:rPr>
          <w:rFonts w:ascii="Tw Cen MT" w:hAnsi="Tw Cen MT"/>
        </w:rPr>
        <w:t xml:space="preserve">. </w:t>
      </w:r>
    </w:p>
    <w:p w14:paraId="269A4215" w14:textId="77777777" w:rsidR="00D57E3E" w:rsidRPr="00BF650B" w:rsidRDefault="00D57E3E" w:rsidP="00B77673">
      <w:pPr>
        <w:pStyle w:val="NoSpacing"/>
        <w:rPr>
          <w:rFonts w:ascii="Tw Cen MT" w:hAnsi="Tw Cen MT"/>
        </w:rPr>
      </w:pPr>
    </w:p>
    <w:p w14:paraId="3BDD4D97" w14:textId="1F50500C" w:rsidR="00D57E3E" w:rsidRPr="00BF650B" w:rsidRDefault="001E2AFE" w:rsidP="00D57E3E">
      <w:pPr>
        <w:pStyle w:val="Heading2"/>
      </w:pPr>
      <w:r w:rsidRPr="00BF650B">
        <w:t>Section 1</w:t>
      </w:r>
      <w:r w:rsidR="00166AA2">
        <w:t>2</w:t>
      </w:r>
      <w:r w:rsidRPr="00BF650B">
        <w:t xml:space="preserve"> - </w:t>
      </w:r>
      <w:r w:rsidR="00D57E3E" w:rsidRPr="00BF650B">
        <w:t>Amendments and Consent</w:t>
      </w:r>
    </w:p>
    <w:p w14:paraId="1C57DFF3" w14:textId="7AF83164" w:rsidR="00C74B90" w:rsidRPr="00BF650B" w:rsidRDefault="00C74B90" w:rsidP="00C74B90">
      <w:pPr>
        <w:pStyle w:val="NoSpacing"/>
        <w:rPr>
          <w:rFonts w:ascii="Tw Cen MT" w:hAnsi="Tw Cen MT"/>
        </w:rPr>
      </w:pPr>
      <w:r w:rsidRPr="00BF650B">
        <w:rPr>
          <w:rFonts w:ascii="Tw Cen MT" w:hAnsi="Tw Cen MT"/>
        </w:rPr>
        <w:t xml:space="preserve">You agree that the </w:t>
      </w:r>
      <w:r w:rsidR="00EA3400">
        <w:rPr>
          <w:rFonts w:ascii="Tw Cen MT" w:hAnsi="Tw Cen MT"/>
        </w:rPr>
        <w:t>Adviser</w:t>
      </w:r>
      <w:r w:rsidRPr="00BF650B">
        <w:rPr>
          <w:rFonts w:ascii="Tw Cen MT" w:hAnsi="Tw Cen MT"/>
        </w:rPr>
        <w:t xml:space="preserve"> may amend this Agreement from time to time</w:t>
      </w:r>
      <w:r w:rsidR="00285D99">
        <w:rPr>
          <w:rFonts w:ascii="Tw Cen MT" w:hAnsi="Tw Cen MT"/>
        </w:rPr>
        <w:t>.</w:t>
      </w:r>
      <w:r w:rsidRPr="00BF650B">
        <w:rPr>
          <w:rFonts w:ascii="Tw Cen MT" w:hAnsi="Tw Cen MT"/>
        </w:rPr>
        <w:t xml:space="preserve"> </w:t>
      </w:r>
      <w:r w:rsidR="00C74D97">
        <w:rPr>
          <w:rFonts w:ascii="Tw Cen MT" w:hAnsi="Tw Cen MT"/>
        </w:rPr>
        <w:t>Except as otherwise provided for in this Agreement, n</w:t>
      </w:r>
      <w:r w:rsidRPr="00BF650B">
        <w:rPr>
          <w:rFonts w:ascii="Tw Cen MT" w:hAnsi="Tw Cen MT"/>
        </w:rPr>
        <w:t xml:space="preserve">othing in </w:t>
      </w:r>
      <w:r w:rsidR="00F64D15" w:rsidRPr="00BF650B">
        <w:rPr>
          <w:rFonts w:ascii="Tw Cen MT" w:hAnsi="Tw Cen MT"/>
        </w:rPr>
        <w:t>this</w:t>
      </w:r>
      <w:r w:rsidRPr="00BF650B">
        <w:rPr>
          <w:rFonts w:ascii="Tw Cen MT" w:hAnsi="Tw Cen MT"/>
        </w:rPr>
        <w:t xml:space="preserve"> Agreement or any </w:t>
      </w:r>
      <w:r w:rsidR="0011485A" w:rsidRPr="00BF650B">
        <w:rPr>
          <w:rFonts w:ascii="Tw Cen MT" w:hAnsi="Tw Cen MT"/>
        </w:rPr>
        <w:t>Amendment</w:t>
      </w:r>
      <w:r w:rsidRPr="00BF650B">
        <w:rPr>
          <w:rFonts w:ascii="Tw Cen MT" w:hAnsi="Tw Cen MT"/>
        </w:rPr>
        <w:t xml:space="preserve"> will be deemed waived or amended without the prior express written consent of the </w:t>
      </w:r>
      <w:r w:rsidR="00EA3400">
        <w:rPr>
          <w:rFonts w:ascii="Tw Cen MT" w:hAnsi="Tw Cen MT"/>
        </w:rPr>
        <w:t>Adviser</w:t>
      </w:r>
      <w:r w:rsidRPr="00BF650B">
        <w:rPr>
          <w:rFonts w:ascii="Tw Cen MT" w:hAnsi="Tw Cen MT"/>
        </w:rPr>
        <w:t xml:space="preserve"> executed by a duly authorized representative of </w:t>
      </w:r>
      <w:r w:rsidR="00F64D15" w:rsidRPr="00BF650B">
        <w:rPr>
          <w:rFonts w:ascii="Tw Cen MT" w:hAnsi="Tw Cen MT"/>
        </w:rPr>
        <w:t xml:space="preserve">the </w:t>
      </w:r>
      <w:r w:rsidR="00EA3400">
        <w:rPr>
          <w:rFonts w:ascii="Tw Cen MT" w:hAnsi="Tw Cen MT"/>
        </w:rPr>
        <w:t>Adviser</w:t>
      </w:r>
      <w:r w:rsidRPr="00BF650B">
        <w:rPr>
          <w:rFonts w:ascii="Tw Cen MT" w:hAnsi="Tw Cen MT"/>
        </w:rPr>
        <w:t>. </w:t>
      </w:r>
    </w:p>
    <w:p w14:paraId="40130091" w14:textId="77777777" w:rsidR="00F64D15" w:rsidRPr="00BF650B" w:rsidRDefault="00F64D15" w:rsidP="00C74B90">
      <w:pPr>
        <w:pStyle w:val="NoSpacing"/>
        <w:rPr>
          <w:rFonts w:ascii="Tw Cen MT" w:hAnsi="Tw Cen MT"/>
        </w:rPr>
      </w:pPr>
    </w:p>
    <w:p w14:paraId="66D205F7" w14:textId="32A07F49" w:rsidR="00C74B90" w:rsidRPr="00BF650B" w:rsidRDefault="00C74B90" w:rsidP="00B77673">
      <w:pPr>
        <w:pStyle w:val="NoSpacing"/>
        <w:rPr>
          <w:rFonts w:ascii="Tw Cen MT" w:hAnsi="Tw Cen MT"/>
        </w:rPr>
      </w:pPr>
      <w:r w:rsidRPr="00BF650B">
        <w:rPr>
          <w:rFonts w:ascii="Tw Cen MT" w:hAnsi="Tw Cen MT"/>
        </w:rPr>
        <w:t xml:space="preserve">Subject to applicable law, you agree that, in any matter for which your consent or agreement is required or for which </w:t>
      </w:r>
      <w:r w:rsidR="00F64D15" w:rsidRPr="00BF650B">
        <w:rPr>
          <w:rFonts w:ascii="Tw Cen MT" w:hAnsi="Tw Cen MT"/>
        </w:rPr>
        <w:t xml:space="preserve">the </w:t>
      </w:r>
      <w:r w:rsidR="00EA3400">
        <w:rPr>
          <w:rFonts w:ascii="Tw Cen MT" w:hAnsi="Tw Cen MT"/>
        </w:rPr>
        <w:t>Adviser</w:t>
      </w:r>
      <w:r w:rsidRPr="00BF650B">
        <w:rPr>
          <w:rFonts w:ascii="Tw Cen MT" w:hAnsi="Tw Cen MT"/>
        </w:rPr>
        <w:t xml:space="preserve"> may seek your consent or agreement, you will be deemed to have given your consent or agreement if the </w:t>
      </w:r>
      <w:r w:rsidR="00EA3400">
        <w:rPr>
          <w:rFonts w:ascii="Tw Cen MT" w:hAnsi="Tw Cen MT"/>
        </w:rPr>
        <w:t>Adviser</w:t>
      </w:r>
      <w:r w:rsidRPr="00BF650B">
        <w:rPr>
          <w:rFonts w:ascii="Tw Cen MT" w:hAnsi="Tw Cen MT"/>
        </w:rPr>
        <w:t xml:space="preserve"> sends you prior notice of such matter and indicates that you will be deemed to consent or agree to the matter if you do not object in the manner and by the deadline stated in the notice and you do not so object by the deadline stated in the notice.</w:t>
      </w:r>
    </w:p>
    <w:p w14:paraId="37B94B8F" w14:textId="77777777" w:rsidR="00B77673" w:rsidRPr="00BF650B" w:rsidRDefault="00B77673" w:rsidP="00B77673">
      <w:pPr>
        <w:pStyle w:val="NoSpacing"/>
        <w:rPr>
          <w:rFonts w:ascii="Tw Cen MT" w:hAnsi="Tw Cen MT"/>
        </w:rPr>
      </w:pPr>
    </w:p>
    <w:p w14:paraId="5B5615C1" w14:textId="2797D459" w:rsidR="00202959" w:rsidRPr="00BF650B" w:rsidRDefault="00202959" w:rsidP="00202959">
      <w:pPr>
        <w:pStyle w:val="Heading2"/>
        <w:rPr>
          <w:shd w:val="clear" w:color="auto" w:fill="FFFFFF"/>
        </w:rPr>
      </w:pPr>
      <w:r w:rsidRPr="00021BD1">
        <w:rPr>
          <w:shd w:val="clear" w:color="auto" w:fill="FFFFFF"/>
        </w:rPr>
        <w:t>Section 1</w:t>
      </w:r>
      <w:r w:rsidR="00166AA2" w:rsidRPr="00021BD1">
        <w:rPr>
          <w:shd w:val="clear" w:color="auto" w:fill="FFFFFF"/>
        </w:rPr>
        <w:t>3</w:t>
      </w:r>
      <w:r w:rsidRPr="00021BD1">
        <w:rPr>
          <w:shd w:val="clear" w:color="auto" w:fill="FFFFFF"/>
        </w:rPr>
        <w:t xml:space="preserve"> - Termination</w:t>
      </w:r>
    </w:p>
    <w:p w14:paraId="73C6C704" w14:textId="4B2EBB40" w:rsidR="0086533D" w:rsidRPr="000A1879" w:rsidRDefault="0086533D" w:rsidP="000A1879">
      <w:pPr>
        <w:rPr>
          <w:rFonts w:ascii="Tw Cen MT" w:hAnsi="Tw Cen MT"/>
          <w:shd w:val="clear" w:color="auto" w:fill="FFFFFF"/>
        </w:rPr>
      </w:pPr>
      <w:r w:rsidRPr="000A1879">
        <w:rPr>
          <w:rFonts w:ascii="Tw Cen MT" w:hAnsi="Tw Cen MT"/>
          <w:shd w:val="clear" w:color="auto" w:fill="FFFFFF"/>
        </w:rPr>
        <w:t xml:space="preserve">Client understands that this Agreement may be terminated without penalty within five (5) business days from the date of the signed Agreement. Thereafter, this Agreement will continue in effect until terminated. </w:t>
      </w:r>
      <w:r w:rsidRPr="000A1879">
        <w:rPr>
          <w:rFonts w:ascii="Tw Cen MT" w:hAnsi="Tw Cen MT"/>
          <w:shd w:val="clear" w:color="auto" w:fill="FFFFFF"/>
        </w:rPr>
        <w:lastRenderedPageBreak/>
        <w:t>Either party may terminate Agreement by providing the other party written notification (email notification will suffice). The termination date shall be the date either party receives written notification from the other party.</w:t>
      </w:r>
    </w:p>
    <w:p w14:paraId="2BCDE8B4" w14:textId="2625E4D8" w:rsidR="0086533D" w:rsidRDefault="0086533D" w:rsidP="000A1879">
      <w:pPr>
        <w:rPr>
          <w:rFonts w:ascii="Tw Cen MT" w:hAnsi="Tw Cen MT"/>
          <w:shd w:val="clear" w:color="auto" w:fill="FFFFFF"/>
        </w:rPr>
      </w:pPr>
      <w:r w:rsidRPr="000A1879">
        <w:rPr>
          <w:rFonts w:ascii="Tw Cen MT" w:hAnsi="Tw Cen MT"/>
          <w:shd w:val="clear" w:color="auto" w:fill="FFFFFF"/>
        </w:rPr>
        <w:t xml:space="preserve">If Account(s) close and we have not received written notification from Client, the termination date shall be the latest closing date (as determined by the account custodian) of all Account(s) under this Agreement. </w:t>
      </w:r>
      <w:r w:rsidR="001941B1">
        <w:rPr>
          <w:rFonts w:ascii="Tw Cen MT" w:hAnsi="Tw Cen MT"/>
          <w:shd w:val="clear" w:color="auto" w:fill="FFFFFF"/>
        </w:rPr>
        <w:t xml:space="preserve">The Client understands and agrees that prepaid </w:t>
      </w:r>
      <w:r w:rsidR="00EA3400">
        <w:rPr>
          <w:rFonts w:ascii="Tw Cen MT" w:hAnsi="Tw Cen MT"/>
          <w:shd w:val="clear" w:color="auto" w:fill="FFFFFF"/>
        </w:rPr>
        <w:t>Advisory</w:t>
      </w:r>
      <w:r w:rsidR="001941B1">
        <w:rPr>
          <w:rFonts w:ascii="Tw Cen MT" w:hAnsi="Tw Cen MT"/>
          <w:shd w:val="clear" w:color="auto" w:fill="FFFFFF"/>
        </w:rPr>
        <w:t xml:space="preserve"> fees </w:t>
      </w:r>
      <w:r w:rsidR="00AB62C5">
        <w:rPr>
          <w:rFonts w:ascii="Tw Cen MT" w:hAnsi="Tw Cen MT"/>
          <w:shd w:val="clear" w:color="auto" w:fill="FFFFFF"/>
        </w:rPr>
        <w:t xml:space="preserve">will not be refunded. </w:t>
      </w:r>
    </w:p>
    <w:p w14:paraId="587CCE98" w14:textId="30AC2609" w:rsidR="00AB62C5" w:rsidRPr="000A1879" w:rsidRDefault="00AB62C5" w:rsidP="000A1879">
      <w:pPr>
        <w:rPr>
          <w:rFonts w:ascii="Tw Cen MT" w:hAnsi="Tw Cen MT"/>
          <w:shd w:val="clear" w:color="auto" w:fill="FFFFFF"/>
        </w:rPr>
      </w:pPr>
      <w:r>
        <w:rPr>
          <w:rFonts w:ascii="Tw Cen MT" w:hAnsi="Tw Cen MT"/>
          <w:shd w:val="clear" w:color="auto" w:fill="FFFFFF"/>
        </w:rPr>
        <w:t xml:space="preserve">See </w:t>
      </w:r>
      <w:r w:rsidR="00D21A78">
        <w:rPr>
          <w:rFonts w:ascii="Tw Cen MT" w:hAnsi="Tw Cen MT"/>
          <w:shd w:val="clear" w:color="auto" w:fill="FFFFFF"/>
        </w:rPr>
        <w:t>Financial Planning and Investment Advisory Fee Agreement</w:t>
      </w:r>
      <w:r>
        <w:rPr>
          <w:rFonts w:ascii="Tw Cen MT" w:hAnsi="Tw Cen MT"/>
          <w:shd w:val="clear" w:color="auto" w:fill="FFFFFF"/>
        </w:rPr>
        <w:t xml:space="preserve"> for a reiteration of the above provision.</w:t>
      </w:r>
    </w:p>
    <w:p w14:paraId="15650BCC" w14:textId="371B64B4" w:rsidR="0086533D" w:rsidRPr="000A1879" w:rsidRDefault="0086533D" w:rsidP="000A1879">
      <w:pPr>
        <w:rPr>
          <w:rFonts w:ascii="Tw Cen MT" w:hAnsi="Tw Cen MT"/>
          <w:shd w:val="clear" w:color="auto" w:fill="FFFFFF"/>
        </w:rPr>
      </w:pPr>
      <w:r w:rsidRPr="000A1879">
        <w:rPr>
          <w:rFonts w:ascii="Tw Cen MT" w:hAnsi="Tw Cen MT"/>
          <w:shd w:val="clear" w:color="auto" w:fill="FFFFFF"/>
        </w:rPr>
        <w:t xml:space="preserve">Termination of this Agreement will not affect (a) the validity of any action previously taken by </w:t>
      </w:r>
      <w:r w:rsidR="00EA3400">
        <w:rPr>
          <w:rFonts w:ascii="Tw Cen MT" w:hAnsi="Tw Cen MT"/>
          <w:shd w:val="clear" w:color="auto" w:fill="FFFFFF"/>
        </w:rPr>
        <w:t>Adviser</w:t>
      </w:r>
      <w:r w:rsidRPr="000A1879">
        <w:rPr>
          <w:rFonts w:ascii="Tw Cen MT" w:hAnsi="Tw Cen MT"/>
          <w:shd w:val="clear" w:color="auto" w:fill="FFFFFF"/>
        </w:rPr>
        <w:t xml:space="preserve"> under this Agreement; (b) liabilities or obligations of the parties from transactions initiated before termination of this Agreement; or (c) Client’s obligation to pay </w:t>
      </w:r>
      <w:r w:rsidR="00EA3400">
        <w:rPr>
          <w:rFonts w:ascii="Tw Cen MT" w:hAnsi="Tw Cen MT"/>
          <w:shd w:val="clear" w:color="auto" w:fill="FFFFFF"/>
        </w:rPr>
        <w:t>Adviser</w:t>
      </w:r>
      <w:r w:rsidRPr="000A1879">
        <w:rPr>
          <w:rFonts w:ascii="Tw Cen MT" w:hAnsi="Tw Cen MT"/>
          <w:shd w:val="clear" w:color="auto" w:fill="FFFFFF"/>
        </w:rPr>
        <w:t xml:space="preserve">’s investment </w:t>
      </w:r>
      <w:r w:rsidR="00EA3400">
        <w:rPr>
          <w:rFonts w:ascii="Tw Cen MT" w:hAnsi="Tw Cen MT"/>
          <w:shd w:val="clear" w:color="auto" w:fill="FFFFFF"/>
        </w:rPr>
        <w:t>Advisory</w:t>
      </w:r>
      <w:r w:rsidRPr="000A1879">
        <w:rPr>
          <w:rFonts w:ascii="Tw Cen MT" w:hAnsi="Tw Cen MT"/>
          <w:shd w:val="clear" w:color="auto" w:fill="FFFFFF"/>
        </w:rPr>
        <w:t xml:space="preserve"> and management fee(s) (prorated through the termination date).  On the termination of this Agreement, the </w:t>
      </w:r>
      <w:r w:rsidR="00EA3400">
        <w:rPr>
          <w:rFonts w:ascii="Tw Cen MT" w:hAnsi="Tw Cen MT"/>
          <w:shd w:val="clear" w:color="auto" w:fill="FFFFFF"/>
        </w:rPr>
        <w:t>Adviser</w:t>
      </w:r>
      <w:r w:rsidRPr="000A1879">
        <w:rPr>
          <w:rFonts w:ascii="Tw Cen MT" w:hAnsi="Tw Cen MT"/>
          <w:shd w:val="clear" w:color="auto" w:fill="FFFFFF"/>
        </w:rPr>
        <w:t xml:space="preserve"> will have no obligation to recommend or take any action with regard to the securities, investments, cash, or other assets in the Account.</w:t>
      </w:r>
    </w:p>
    <w:p w14:paraId="0E802644" w14:textId="7B5DA134" w:rsidR="0028741F" w:rsidRPr="00BF650B" w:rsidRDefault="0028741F" w:rsidP="0028741F">
      <w:pPr>
        <w:pStyle w:val="Heading2"/>
      </w:pPr>
      <w:r w:rsidRPr="00BF650B">
        <w:t>Section 1</w:t>
      </w:r>
      <w:r w:rsidR="0079768E">
        <w:t>4</w:t>
      </w:r>
      <w:r w:rsidRPr="00BF650B">
        <w:t xml:space="preserve"> – Governing Law</w:t>
      </w:r>
    </w:p>
    <w:p w14:paraId="7514B7CC" w14:textId="2B4C67AE" w:rsidR="0028741F" w:rsidRPr="00BF650B" w:rsidRDefault="0028741F" w:rsidP="0028741F">
      <w:pPr>
        <w:rPr>
          <w:rFonts w:ascii="Tw Cen MT" w:hAnsi="Tw Cen MT"/>
        </w:rPr>
      </w:pPr>
      <w:r w:rsidRPr="00BF650B">
        <w:rPr>
          <w:rFonts w:ascii="Tw Cen MT" w:hAnsi="Tw Cen MT"/>
        </w:rPr>
        <w:t xml:space="preserve">This Agreement will be governed by and construed in accordance with the laws of the </w:t>
      </w:r>
      <w:r w:rsidR="00585808">
        <w:rPr>
          <w:rFonts w:ascii="Tw Cen MT" w:hAnsi="Tw Cen MT"/>
        </w:rPr>
        <w:t>state of the Client’s domicile</w:t>
      </w:r>
      <w:r w:rsidR="009F18FF" w:rsidRPr="00BF650B">
        <w:rPr>
          <w:rFonts w:ascii="Tw Cen MT" w:hAnsi="Tw Cen MT"/>
        </w:rPr>
        <w:t xml:space="preserve"> </w:t>
      </w:r>
      <w:r w:rsidRPr="00BF650B">
        <w:rPr>
          <w:rFonts w:ascii="Tw Cen MT" w:hAnsi="Tw Cen MT"/>
        </w:rPr>
        <w:t xml:space="preserve">without giving effect to any conflict or choice of law provisions, provided that nothing in this Agreement will be construed in any manner inconsistent with federal laws, the </w:t>
      </w:r>
      <w:r w:rsidR="00EA3400">
        <w:rPr>
          <w:rFonts w:ascii="Tw Cen MT" w:hAnsi="Tw Cen MT"/>
        </w:rPr>
        <w:t>Adviser</w:t>
      </w:r>
      <w:r w:rsidRPr="00BF650B">
        <w:rPr>
          <w:rFonts w:ascii="Tw Cen MT" w:hAnsi="Tw Cen MT"/>
        </w:rPr>
        <w:t xml:space="preserve">s Act, any rule or order of the SEC under the </w:t>
      </w:r>
      <w:r w:rsidR="00EA3400">
        <w:rPr>
          <w:rFonts w:ascii="Tw Cen MT" w:hAnsi="Tw Cen MT"/>
        </w:rPr>
        <w:t>Adviser</w:t>
      </w:r>
      <w:r w:rsidRPr="00BF650B">
        <w:rPr>
          <w:rFonts w:ascii="Tw Cen MT" w:hAnsi="Tw Cen MT"/>
        </w:rPr>
        <w:t>s Act and, if applicable to the Account(s), ERISA and any rule or order of the United States Department of Labor under ERISA.</w:t>
      </w:r>
    </w:p>
    <w:p w14:paraId="7C19828F" w14:textId="1FCAD8F4" w:rsidR="0028741F" w:rsidRPr="00BF650B" w:rsidRDefault="0028741F" w:rsidP="0028741F">
      <w:pPr>
        <w:pStyle w:val="Heading2"/>
      </w:pPr>
      <w:r w:rsidRPr="00BF650B">
        <w:t>Section 1</w:t>
      </w:r>
      <w:r w:rsidR="0079768E">
        <w:t>5</w:t>
      </w:r>
      <w:r w:rsidRPr="00BF650B">
        <w:t xml:space="preserve"> – Miscellaneous Provisions</w:t>
      </w:r>
    </w:p>
    <w:p w14:paraId="67E195AA" w14:textId="16CF4D09" w:rsidR="0028741F" w:rsidRPr="00BF650B" w:rsidRDefault="0028741F" w:rsidP="0028741F">
      <w:pPr>
        <w:rPr>
          <w:rFonts w:ascii="Tw Cen MT" w:hAnsi="Tw Cen MT"/>
        </w:rPr>
      </w:pPr>
      <w:r w:rsidRPr="00BF650B">
        <w:rPr>
          <w:rFonts w:ascii="Tw Cen MT" w:hAnsi="Tw Cen MT"/>
        </w:rPr>
        <w:t>If any provision of this Agreement is, or becomes, inconsistent with any law or rule of any governmental or regulatory body having jurisdiction over the subject matter of this Agreement, that provision shall be deemed to have been rescinded or modified in accordance with any such law or rule</w:t>
      </w:r>
      <w:r w:rsidR="00585D4C" w:rsidRPr="00BF650B">
        <w:rPr>
          <w:rFonts w:ascii="Tw Cen MT" w:hAnsi="Tw Cen MT"/>
        </w:rPr>
        <w:t xml:space="preserve">. </w:t>
      </w:r>
      <w:r w:rsidRPr="00BF650B">
        <w:rPr>
          <w:rFonts w:ascii="Tw Cen MT" w:hAnsi="Tw Cen MT"/>
        </w:rPr>
        <w:t>In all other respects, this Agreement shall continue and remain in full force and effect.</w:t>
      </w:r>
    </w:p>
    <w:p w14:paraId="21C5AEBD" w14:textId="7BB261F2" w:rsidR="00170A14" w:rsidRPr="00BF650B" w:rsidRDefault="00872374" w:rsidP="0028741F">
      <w:pPr>
        <w:rPr>
          <w:rFonts w:ascii="Tw Cen MT" w:hAnsi="Tw Cen MT"/>
        </w:rPr>
      </w:pPr>
      <w:r w:rsidRPr="00BF650B">
        <w:rPr>
          <w:rFonts w:ascii="Tw Cen MT" w:hAnsi="Tw Cen MT"/>
        </w:rPr>
        <w:t>No term or provision of this Agreement may be waived or changed except in writing signed by the party against whom such waiver or change is sought to be enforced</w:t>
      </w:r>
      <w:r w:rsidR="00585D4C" w:rsidRPr="00BF650B">
        <w:rPr>
          <w:rFonts w:ascii="Tw Cen MT" w:hAnsi="Tw Cen MT"/>
        </w:rPr>
        <w:t xml:space="preserve">. </w:t>
      </w:r>
      <w:r w:rsidR="00EA3400">
        <w:rPr>
          <w:rFonts w:ascii="Tw Cen MT" w:hAnsi="Tw Cen MT"/>
        </w:rPr>
        <w:t>Adviser</w:t>
      </w:r>
      <w:r w:rsidRPr="00BF650B">
        <w:rPr>
          <w:rFonts w:ascii="Tw Cen MT" w:hAnsi="Tw Cen MT"/>
        </w:rPr>
        <w:t xml:space="preserve">’s failure to insist at any time on strict compliance with this Agreement, or with any of the terms of the Agreement or any continued course of such conduct on its part, will not constitute or be considered a waiver by the </w:t>
      </w:r>
      <w:r w:rsidR="00EA3400">
        <w:rPr>
          <w:rFonts w:ascii="Tw Cen MT" w:hAnsi="Tw Cen MT"/>
        </w:rPr>
        <w:t>Adviser</w:t>
      </w:r>
      <w:r w:rsidRPr="00BF650B">
        <w:rPr>
          <w:rFonts w:ascii="Tw Cen MT" w:hAnsi="Tw Cen MT"/>
        </w:rPr>
        <w:t xml:space="preserve"> of any of its rights or privileges</w:t>
      </w:r>
      <w:r w:rsidR="00DC5B54" w:rsidRPr="00BF650B">
        <w:rPr>
          <w:rFonts w:ascii="Tw Cen MT" w:hAnsi="Tw Cen MT"/>
        </w:rPr>
        <w:t xml:space="preserve">. </w:t>
      </w:r>
      <w:r w:rsidRPr="00BF650B">
        <w:rPr>
          <w:rFonts w:ascii="Tw Cen MT" w:hAnsi="Tw Cen MT"/>
        </w:rPr>
        <w:t xml:space="preserve">This Agreement contains the entire understanding between Client and </w:t>
      </w:r>
      <w:r w:rsidR="00EA3400">
        <w:rPr>
          <w:rFonts w:ascii="Tw Cen MT" w:hAnsi="Tw Cen MT"/>
        </w:rPr>
        <w:t>Adviser</w:t>
      </w:r>
      <w:r w:rsidRPr="00BF650B">
        <w:rPr>
          <w:rFonts w:ascii="Tw Cen MT" w:hAnsi="Tw Cen MT"/>
        </w:rPr>
        <w:t xml:space="preserve"> concerning the subject matter of this Agreement.</w:t>
      </w:r>
    </w:p>
    <w:p w14:paraId="1C5E5DC4" w14:textId="489D7AF0" w:rsidR="0028741F" w:rsidRPr="00BF650B" w:rsidRDefault="0028741F" w:rsidP="0028741F">
      <w:pPr>
        <w:pStyle w:val="Heading2"/>
      </w:pPr>
      <w:r w:rsidRPr="00BF650B">
        <w:t>Section 1</w:t>
      </w:r>
      <w:r w:rsidR="0079768E">
        <w:t>6</w:t>
      </w:r>
      <w:r w:rsidRPr="00BF650B">
        <w:t xml:space="preserve"> – </w:t>
      </w:r>
      <w:r w:rsidR="00BA1034">
        <w:t>Mediation</w:t>
      </w:r>
    </w:p>
    <w:p w14:paraId="6BA34FCA" w14:textId="401EDB10" w:rsidR="00235897" w:rsidRDefault="00235897" w:rsidP="00FF28D3">
      <w:pPr>
        <w:pStyle w:val="NoSpacing"/>
        <w:spacing w:line="259" w:lineRule="auto"/>
        <w:rPr>
          <w:rFonts w:ascii="Tw Cen MT" w:hAnsi="Tw Cen MT"/>
        </w:rPr>
      </w:pPr>
      <w:r w:rsidRPr="00235897">
        <w:rPr>
          <w:rFonts w:ascii="Tw Cen MT" w:hAnsi="Tw Cen MT"/>
        </w:rPr>
        <w:t xml:space="preserve">If a dispute arises out of or relates to this contract, or the alleged </w:t>
      </w:r>
      <w:r>
        <w:rPr>
          <w:rFonts w:ascii="Tw Cen MT" w:hAnsi="Tw Cen MT"/>
        </w:rPr>
        <w:t>materia</w:t>
      </w:r>
      <w:r w:rsidR="00B07DB8">
        <w:rPr>
          <w:rFonts w:ascii="Tw Cen MT" w:hAnsi="Tw Cen MT"/>
        </w:rPr>
        <w:t xml:space="preserve">l </w:t>
      </w:r>
      <w:r w:rsidRPr="00235897">
        <w:rPr>
          <w:rFonts w:ascii="Tw Cen MT" w:hAnsi="Tw Cen MT"/>
        </w:rPr>
        <w:t>breach thereof, and if the</w:t>
      </w:r>
      <w:r w:rsidR="008539D8">
        <w:rPr>
          <w:rFonts w:ascii="Tw Cen MT" w:hAnsi="Tw Cen MT"/>
        </w:rPr>
        <w:t xml:space="preserve"> </w:t>
      </w:r>
      <w:r w:rsidRPr="00235897">
        <w:rPr>
          <w:rFonts w:ascii="Tw Cen MT" w:hAnsi="Tw Cen MT"/>
        </w:rPr>
        <w:t>dispute is not settled through negotiation the parties agree first to try in good faith to settle the</w:t>
      </w:r>
      <w:r w:rsidR="009D6002">
        <w:rPr>
          <w:rFonts w:ascii="Tw Cen MT" w:hAnsi="Tw Cen MT"/>
        </w:rPr>
        <w:t xml:space="preserve"> </w:t>
      </w:r>
      <w:r w:rsidRPr="00235897">
        <w:rPr>
          <w:rFonts w:ascii="Tw Cen MT" w:hAnsi="Tw Cen MT"/>
        </w:rPr>
        <w:t>dispute by mediation within 30 days administered under</w:t>
      </w:r>
      <w:r w:rsidR="00C60A3A">
        <w:rPr>
          <w:rFonts w:ascii="Tw Cen MT" w:hAnsi="Tw Cen MT"/>
        </w:rPr>
        <w:t xml:space="preserve"> a mutually agreed upon mediation </w:t>
      </w:r>
      <w:r w:rsidR="00214BB9">
        <w:rPr>
          <w:rFonts w:ascii="Tw Cen MT" w:hAnsi="Tw Cen MT"/>
        </w:rPr>
        <w:t>forum before</w:t>
      </w:r>
      <w:r w:rsidRPr="00235897">
        <w:rPr>
          <w:rFonts w:ascii="Tw Cen MT" w:hAnsi="Tw Cen MT"/>
        </w:rPr>
        <w:t xml:space="preserve"> resorting to</w:t>
      </w:r>
      <w:r w:rsidR="008539D8">
        <w:rPr>
          <w:rFonts w:ascii="Tw Cen MT" w:hAnsi="Tw Cen MT"/>
        </w:rPr>
        <w:t xml:space="preserve"> </w:t>
      </w:r>
      <w:r w:rsidRPr="00235897">
        <w:rPr>
          <w:rFonts w:ascii="Tw Cen MT" w:hAnsi="Tw Cen MT"/>
        </w:rPr>
        <w:t>arbitration, litigation, or some other dispute resolution procedure. The process shall be confidential based on terms acceptable to the mediator and/or mediation</w:t>
      </w:r>
      <w:r w:rsidR="00214BB9">
        <w:rPr>
          <w:rFonts w:ascii="Tw Cen MT" w:hAnsi="Tw Cen MT"/>
        </w:rPr>
        <w:t xml:space="preserve"> </w:t>
      </w:r>
      <w:r w:rsidRPr="00235897">
        <w:rPr>
          <w:rFonts w:ascii="Tw Cen MT" w:hAnsi="Tw Cen MT"/>
        </w:rPr>
        <w:t>service provider.</w:t>
      </w:r>
      <w:r w:rsidR="00365E9C">
        <w:rPr>
          <w:rFonts w:ascii="Tw Cen MT" w:hAnsi="Tw Cen MT"/>
        </w:rPr>
        <w:t xml:space="preserve"> </w:t>
      </w:r>
      <w:r w:rsidR="00365E9C" w:rsidRPr="00365E9C">
        <w:rPr>
          <w:rFonts w:ascii="Tw Cen MT" w:hAnsi="Tw Cen MT"/>
        </w:rPr>
        <w:t>This section does not constitute a waiver of any right that Clients may have to choose a judicial forum if such a waiver would be void under applicable federal law.</w:t>
      </w:r>
    </w:p>
    <w:p w14:paraId="04A3D480" w14:textId="77777777" w:rsidR="002422E5" w:rsidRDefault="002422E5" w:rsidP="00FF28D3">
      <w:pPr>
        <w:pStyle w:val="NoSpacing"/>
        <w:spacing w:line="259" w:lineRule="auto"/>
        <w:rPr>
          <w:rFonts w:ascii="Tw Cen MT" w:hAnsi="Tw Cen MT"/>
        </w:rPr>
      </w:pPr>
    </w:p>
    <w:p w14:paraId="7AA8955B" w14:textId="77777777" w:rsidR="002422E5" w:rsidRPr="00037EAB" w:rsidRDefault="002422E5" w:rsidP="002422E5">
      <w:pPr>
        <w:rPr>
          <w:rFonts w:ascii="Tw Cen MT" w:hAnsi="Tw Cen MT"/>
          <w:bCs/>
        </w:rPr>
      </w:pPr>
      <w:r w:rsidRPr="00037EAB">
        <w:rPr>
          <w:rFonts w:ascii="Tw Cen MT" w:hAnsi="Tw Cen MT"/>
          <w:bCs/>
        </w:rPr>
        <w:lastRenderedPageBreak/>
        <w:t xml:space="preserve">The federal and state securities laws impose liability under certain circumstances on persons who act in good faith. Nothing in this Agreement, including the information below, is a waiver of any right or remedy Client has under federal or state securities laws. </w:t>
      </w:r>
    </w:p>
    <w:p w14:paraId="6118E4EB" w14:textId="36F4F14C" w:rsidR="002422E5" w:rsidRDefault="002422E5" w:rsidP="002422E5">
      <w:pPr>
        <w:pStyle w:val="NoSpacing"/>
        <w:spacing w:line="259" w:lineRule="auto"/>
        <w:rPr>
          <w:rFonts w:ascii="Tw Cen MT" w:hAnsi="Tw Cen MT"/>
        </w:rPr>
      </w:pPr>
      <w:r w:rsidRPr="00037EAB">
        <w:rPr>
          <w:rFonts w:ascii="Tw Cen MT" w:hAnsi="Tw Cen MT"/>
          <w:bCs/>
        </w:rPr>
        <w:t xml:space="preserve">The </w:t>
      </w:r>
      <w:r w:rsidR="00EA3400">
        <w:rPr>
          <w:rFonts w:ascii="Tw Cen MT" w:hAnsi="Tw Cen MT"/>
          <w:bCs/>
        </w:rPr>
        <w:t>Adviser</w:t>
      </w:r>
      <w:r w:rsidRPr="00037EAB">
        <w:rPr>
          <w:rFonts w:ascii="Tw Cen MT" w:hAnsi="Tw Cen MT"/>
          <w:bCs/>
        </w:rPr>
        <w:t xml:space="preserve"> (and its managers or members) are not liable to Client for losses resulting from (i) market movements / security price movements for securities purchased, sold, or held within Client accounts or a loss of principal within accounts managed by the </w:t>
      </w:r>
      <w:r w:rsidR="00EA3400">
        <w:rPr>
          <w:rFonts w:ascii="Tw Cen MT" w:hAnsi="Tw Cen MT"/>
          <w:bCs/>
        </w:rPr>
        <w:t>Adviser</w:t>
      </w:r>
      <w:r w:rsidRPr="00037EAB">
        <w:rPr>
          <w:rFonts w:ascii="Tw Cen MT" w:hAnsi="Tw Cen MT"/>
          <w:bCs/>
        </w:rPr>
        <w:t xml:space="preserve"> and (ii) third party errors or activity (broker dealer / custodian, transfer agency, security issuers, and other third-party service providers to the </w:t>
      </w:r>
      <w:r w:rsidR="00EA3400">
        <w:rPr>
          <w:rFonts w:ascii="Tw Cen MT" w:hAnsi="Tw Cen MT"/>
          <w:bCs/>
        </w:rPr>
        <w:t>Adviser</w:t>
      </w:r>
      <w:r w:rsidRPr="00037EAB">
        <w:rPr>
          <w:rFonts w:ascii="Tw Cen MT" w:hAnsi="Tw Cen MT"/>
          <w:bCs/>
        </w:rPr>
        <w:t xml:space="preserve">) which are independent of and are additional, independent third-party service providers to Client. The </w:t>
      </w:r>
      <w:r w:rsidR="00EA3400">
        <w:rPr>
          <w:rFonts w:ascii="Tw Cen MT" w:hAnsi="Tw Cen MT"/>
          <w:bCs/>
        </w:rPr>
        <w:t>Adviser</w:t>
      </w:r>
      <w:r w:rsidRPr="00037EAB">
        <w:rPr>
          <w:rFonts w:ascii="Tw Cen MT" w:hAnsi="Tw Cen MT"/>
          <w:bCs/>
        </w:rPr>
        <w:t xml:space="preserve"> may be liable for any act or omission in providing services if provided in bad faith.</w:t>
      </w:r>
    </w:p>
    <w:p w14:paraId="37321701" w14:textId="77777777" w:rsidR="00365E9C" w:rsidRDefault="00365E9C" w:rsidP="00FF28D3">
      <w:pPr>
        <w:pStyle w:val="NoSpacing"/>
        <w:spacing w:line="259" w:lineRule="auto"/>
        <w:rPr>
          <w:rFonts w:ascii="Tw Cen MT" w:hAnsi="Tw Cen MT"/>
        </w:rPr>
      </w:pPr>
    </w:p>
    <w:p w14:paraId="47B45B87" w14:textId="65D9B28A" w:rsidR="00E66EE1" w:rsidRPr="00BF650B" w:rsidRDefault="00E66EE1" w:rsidP="00235897">
      <w:pPr>
        <w:pStyle w:val="Heading2"/>
      </w:pPr>
      <w:r w:rsidRPr="00BF650B">
        <w:t xml:space="preserve">Section </w:t>
      </w:r>
      <w:r w:rsidR="0079768E">
        <w:t>1</w:t>
      </w:r>
      <w:r w:rsidR="001E2691">
        <w:t>7</w:t>
      </w:r>
      <w:r w:rsidRPr="00BF650B">
        <w:t xml:space="preserve"> – Non-Assignability</w:t>
      </w:r>
    </w:p>
    <w:p w14:paraId="3F83DAF4" w14:textId="4737840D" w:rsidR="00011E8F" w:rsidRDefault="00E66EE1" w:rsidP="00E66EE1">
      <w:pPr>
        <w:rPr>
          <w:rFonts w:ascii="Tw Cen MT" w:hAnsi="Tw Cen MT"/>
        </w:rPr>
      </w:pPr>
      <w:r w:rsidRPr="00BF650B">
        <w:rPr>
          <w:rFonts w:ascii="Tw Cen MT" w:hAnsi="Tw Cen MT"/>
        </w:rPr>
        <w:t xml:space="preserve">This agreement may not be assigned (within the meaning of the Investment </w:t>
      </w:r>
      <w:r w:rsidR="00EA3400">
        <w:rPr>
          <w:rFonts w:ascii="Tw Cen MT" w:hAnsi="Tw Cen MT"/>
        </w:rPr>
        <w:t>Adviser</w:t>
      </w:r>
      <w:r w:rsidRPr="00BF650B">
        <w:rPr>
          <w:rFonts w:ascii="Tw Cen MT" w:hAnsi="Tw Cen MT"/>
        </w:rPr>
        <w:t xml:space="preserve">s Act of 1940) by either </w:t>
      </w:r>
      <w:r w:rsidR="00E71420">
        <w:rPr>
          <w:rFonts w:ascii="Tw Cen MT" w:hAnsi="Tw Cen MT"/>
        </w:rPr>
        <w:t xml:space="preserve">the Client or the </w:t>
      </w:r>
      <w:r w:rsidR="00EA3400">
        <w:rPr>
          <w:rFonts w:ascii="Tw Cen MT" w:hAnsi="Tw Cen MT"/>
        </w:rPr>
        <w:t>Adviser</w:t>
      </w:r>
      <w:r w:rsidRPr="00BF650B">
        <w:rPr>
          <w:rFonts w:ascii="Tw Cen MT" w:hAnsi="Tw Cen MT"/>
        </w:rPr>
        <w:t xml:space="preserve"> without the prior consent of the other party. </w:t>
      </w:r>
      <w:r w:rsidR="00914FF7" w:rsidRPr="00BF650B">
        <w:rPr>
          <w:rFonts w:ascii="Tw Cen MT" w:hAnsi="Tw Cen MT"/>
        </w:rPr>
        <w:t xml:space="preserve">The </w:t>
      </w:r>
      <w:r w:rsidR="00914FF7">
        <w:rPr>
          <w:rFonts w:ascii="Tw Cen MT" w:hAnsi="Tw Cen MT"/>
        </w:rPr>
        <w:t>C</w:t>
      </w:r>
      <w:r w:rsidR="00914FF7" w:rsidRPr="00BF650B">
        <w:rPr>
          <w:rFonts w:ascii="Tw Cen MT" w:hAnsi="Tw Cen MT"/>
        </w:rPr>
        <w:t>lient</w:t>
      </w:r>
      <w:r w:rsidRPr="00BF650B">
        <w:rPr>
          <w:rFonts w:ascii="Tw Cen MT" w:hAnsi="Tw Cen MT"/>
        </w:rPr>
        <w:t xml:space="preserve"> acknowledges and agrees that transactions that do not result in a change of actual control or management of </w:t>
      </w:r>
      <w:r w:rsidR="00914FF7">
        <w:rPr>
          <w:rFonts w:ascii="Tw Cen MT" w:hAnsi="Tw Cen MT"/>
        </w:rPr>
        <w:t xml:space="preserve">the </w:t>
      </w:r>
      <w:r w:rsidR="00EA3400">
        <w:rPr>
          <w:rFonts w:ascii="Tw Cen MT" w:hAnsi="Tw Cen MT"/>
        </w:rPr>
        <w:t>Adviser</w:t>
      </w:r>
      <w:r w:rsidRPr="00BF650B">
        <w:rPr>
          <w:rFonts w:ascii="Tw Cen MT" w:hAnsi="Tw Cen MT"/>
        </w:rPr>
        <w:t xml:space="preserve"> shall not be considered an assignment pursuant to Rule 202(a) under the Investment </w:t>
      </w:r>
      <w:r w:rsidR="00EA3400">
        <w:rPr>
          <w:rFonts w:ascii="Tw Cen MT" w:hAnsi="Tw Cen MT"/>
        </w:rPr>
        <w:t>Adviser</w:t>
      </w:r>
      <w:r w:rsidRPr="00BF650B">
        <w:rPr>
          <w:rFonts w:ascii="Tw Cen MT" w:hAnsi="Tw Cen MT"/>
        </w:rPr>
        <w:t>s Act of 1940.</w:t>
      </w:r>
    </w:p>
    <w:p w14:paraId="4502A79C" w14:textId="0287E080" w:rsidR="000D17D5" w:rsidRDefault="000D17D5" w:rsidP="00E66EE1">
      <w:pPr>
        <w:rPr>
          <w:rFonts w:ascii="Tw Cen MT" w:hAnsi="Tw Cen MT"/>
        </w:rPr>
      </w:pPr>
      <w:r>
        <w:rPr>
          <w:rFonts w:ascii="Tw Cen MT" w:hAnsi="Tw Cen MT"/>
        </w:rPr>
        <w:t xml:space="preserve">The </w:t>
      </w:r>
      <w:r w:rsidR="00EA3400">
        <w:rPr>
          <w:rFonts w:ascii="Tw Cen MT" w:hAnsi="Tw Cen MT"/>
        </w:rPr>
        <w:t>Adviser</w:t>
      </w:r>
      <w:r>
        <w:rPr>
          <w:rFonts w:ascii="Tw Cen MT" w:hAnsi="Tw Cen MT"/>
        </w:rPr>
        <w:t xml:space="preserve"> </w:t>
      </w:r>
      <w:r w:rsidRPr="000D17D5">
        <w:rPr>
          <w:rFonts w:ascii="Tw Cen MT" w:hAnsi="Tw Cen MT"/>
        </w:rPr>
        <w:t>may not assign their respective rights or obligations under this Agreement without the consent of Client. Such consent may be obtained in any manner that is reasonable under the circumstances and may include the use of a “negative consent” process whereby a good faith effort is made to notify Client of a proposed assignment and Client is deemed to have consented to that assignment if Client does not object to it in writing within a reasonable period, which period shall be at least 30 days.</w:t>
      </w:r>
    </w:p>
    <w:p w14:paraId="6EDA1CA0" w14:textId="77777777" w:rsidR="0017403E" w:rsidRPr="00BF650B" w:rsidRDefault="0017403E" w:rsidP="00E66EE1">
      <w:pPr>
        <w:rPr>
          <w:rFonts w:ascii="Tw Cen MT" w:hAnsi="Tw Cen MT"/>
        </w:rPr>
      </w:pPr>
    </w:p>
    <w:p w14:paraId="4670B424" w14:textId="0DC15117" w:rsidR="00E66EE1" w:rsidRPr="00BF650B" w:rsidRDefault="00E66EE1" w:rsidP="00E66EE1">
      <w:pPr>
        <w:pStyle w:val="Heading2"/>
      </w:pPr>
      <w:r w:rsidRPr="00BF650B">
        <w:t xml:space="preserve">Section </w:t>
      </w:r>
      <w:r w:rsidR="001E2691">
        <w:t xml:space="preserve">18 </w:t>
      </w:r>
      <w:r w:rsidRPr="00BF650B">
        <w:t>– Receipt of Disclosures</w:t>
      </w:r>
      <w:r w:rsidR="00220605" w:rsidRPr="00BF650B">
        <w:t xml:space="preserve"> and Acknowledgements</w:t>
      </w:r>
    </w:p>
    <w:p w14:paraId="2B17905F" w14:textId="59881E3B" w:rsidR="008202D2" w:rsidRDefault="00914FF7" w:rsidP="00E66EE1">
      <w:pPr>
        <w:rPr>
          <w:rFonts w:ascii="Tw Cen MT" w:hAnsi="Tw Cen MT"/>
        </w:rPr>
      </w:pPr>
      <w:r w:rsidRPr="00BF650B">
        <w:rPr>
          <w:rFonts w:ascii="Tw Cen MT" w:hAnsi="Tw Cen MT"/>
        </w:rPr>
        <w:t xml:space="preserve">The </w:t>
      </w:r>
      <w:r w:rsidR="00EC28B7">
        <w:rPr>
          <w:rFonts w:ascii="Tw Cen MT" w:hAnsi="Tw Cen MT"/>
        </w:rPr>
        <w:t>C</w:t>
      </w:r>
      <w:r w:rsidR="00EC28B7" w:rsidRPr="00BF650B">
        <w:rPr>
          <w:rFonts w:ascii="Tw Cen MT" w:hAnsi="Tw Cen MT"/>
        </w:rPr>
        <w:t>lient</w:t>
      </w:r>
      <w:r w:rsidR="00E66EE1" w:rsidRPr="00BF650B">
        <w:rPr>
          <w:rFonts w:ascii="Tw Cen MT" w:hAnsi="Tw Cen MT"/>
        </w:rPr>
        <w:t xml:space="preserve"> acknowledges </w:t>
      </w:r>
      <w:r w:rsidR="009E14A0" w:rsidRPr="00BF650B">
        <w:rPr>
          <w:rFonts w:ascii="Tw Cen MT" w:hAnsi="Tw Cen MT"/>
        </w:rPr>
        <w:t>receipt of</w:t>
      </w:r>
      <w:r w:rsidR="00E66EE1" w:rsidRPr="00BF650B">
        <w:rPr>
          <w:rFonts w:ascii="Tw Cen MT" w:hAnsi="Tw Cen MT"/>
        </w:rPr>
        <w:t xml:space="preserve"> a copy of </w:t>
      </w:r>
      <w:r w:rsidR="00EA3400">
        <w:rPr>
          <w:rFonts w:ascii="Tw Cen MT" w:hAnsi="Tw Cen MT"/>
        </w:rPr>
        <w:t>Adviser</w:t>
      </w:r>
      <w:r w:rsidR="00E66EE1" w:rsidRPr="00BF650B">
        <w:rPr>
          <w:rFonts w:ascii="Tw Cen MT" w:hAnsi="Tw Cen MT"/>
        </w:rPr>
        <w:t>’s Form ADV Part 2</w:t>
      </w:r>
      <w:r w:rsidR="00D7533B">
        <w:rPr>
          <w:rFonts w:ascii="Tw Cen MT" w:hAnsi="Tw Cen MT"/>
        </w:rPr>
        <w:t>A and any brochure supplements</w:t>
      </w:r>
      <w:r w:rsidR="00E66EE1" w:rsidRPr="00BF650B">
        <w:rPr>
          <w:rFonts w:ascii="Tw Cen MT" w:hAnsi="Tw Cen MT"/>
        </w:rPr>
        <w:t xml:space="preserve">, the </w:t>
      </w:r>
      <w:r w:rsidR="00EA3400">
        <w:rPr>
          <w:rFonts w:ascii="Tw Cen MT" w:hAnsi="Tw Cen MT"/>
        </w:rPr>
        <w:t>Adviser</w:t>
      </w:r>
      <w:r w:rsidR="00E66EE1" w:rsidRPr="00BF650B">
        <w:rPr>
          <w:rFonts w:ascii="Tw Cen MT" w:hAnsi="Tw Cen MT"/>
        </w:rPr>
        <w:t xml:space="preserve">’s Form </w:t>
      </w:r>
      <w:r w:rsidR="00004B80" w:rsidRPr="00BF650B">
        <w:rPr>
          <w:rFonts w:ascii="Tw Cen MT" w:hAnsi="Tw Cen MT"/>
        </w:rPr>
        <w:t>CRS, a</w:t>
      </w:r>
      <w:r w:rsidR="00E66EE1" w:rsidRPr="00BF650B">
        <w:rPr>
          <w:rFonts w:ascii="Tw Cen MT" w:hAnsi="Tw Cen MT"/>
        </w:rPr>
        <w:t xml:space="preserve"> copy of this Agreement and the </w:t>
      </w:r>
      <w:r w:rsidR="00EA3400">
        <w:rPr>
          <w:rFonts w:ascii="Tw Cen MT" w:hAnsi="Tw Cen MT"/>
        </w:rPr>
        <w:t>Adviser</w:t>
      </w:r>
      <w:r w:rsidR="00E66EE1" w:rsidRPr="00BF650B">
        <w:rPr>
          <w:rFonts w:ascii="Tw Cen MT" w:hAnsi="Tw Cen MT"/>
        </w:rPr>
        <w:t>’s Privacy Policy.</w:t>
      </w:r>
    </w:p>
    <w:p w14:paraId="08A8AAC8" w14:textId="77777777" w:rsidR="003D0FC9" w:rsidRDefault="003D0FC9" w:rsidP="0017403E">
      <w:pPr>
        <w:pStyle w:val="Heading2"/>
      </w:pPr>
    </w:p>
    <w:p w14:paraId="622E04A3" w14:textId="50F2AB76" w:rsidR="00022604" w:rsidRPr="00021BD1" w:rsidRDefault="00022604" w:rsidP="0017403E">
      <w:pPr>
        <w:pStyle w:val="Heading2"/>
      </w:pPr>
      <w:r w:rsidRPr="00021BD1">
        <w:t>Section 19 – Authorization to Share Information with a Third Party</w:t>
      </w:r>
    </w:p>
    <w:p w14:paraId="1F195028" w14:textId="57AE59CE" w:rsidR="00022604" w:rsidRDefault="00BF1BCB" w:rsidP="00E66EE1">
      <w:pPr>
        <w:rPr>
          <w:rFonts w:ascii="Tw Cen MT" w:hAnsi="Tw Cen MT"/>
        </w:rPr>
      </w:pPr>
      <w:r w:rsidRPr="00021BD1">
        <w:rPr>
          <w:rFonts w:ascii="Tw Cen MT" w:hAnsi="Tw Cen MT"/>
        </w:rPr>
        <w:t xml:space="preserve">The </w:t>
      </w:r>
      <w:r w:rsidR="00EA3400">
        <w:rPr>
          <w:rFonts w:ascii="Tw Cen MT" w:hAnsi="Tw Cen MT"/>
        </w:rPr>
        <w:t>Adviser</w:t>
      </w:r>
      <w:r w:rsidRPr="00021BD1">
        <w:rPr>
          <w:rFonts w:ascii="Tw Cen MT" w:hAnsi="Tw Cen MT"/>
        </w:rPr>
        <w:t xml:space="preserve"> may not share information regarding the Client or any accounts with anyone other than the account owner </w:t>
      </w:r>
      <w:r w:rsidR="00534199" w:rsidRPr="00021BD1">
        <w:rPr>
          <w:rFonts w:ascii="Tw Cen MT" w:hAnsi="Tw Cen MT"/>
        </w:rPr>
        <w:t>and by direction of a properly documented Power of Attorney</w:t>
      </w:r>
      <w:r w:rsidR="00DE7CCB" w:rsidRPr="00021BD1">
        <w:rPr>
          <w:rFonts w:ascii="Tw Cen MT" w:hAnsi="Tw Cen MT"/>
        </w:rPr>
        <w:t xml:space="preserve">. By </w:t>
      </w:r>
      <w:r w:rsidR="00090596" w:rsidRPr="00021BD1">
        <w:rPr>
          <w:rFonts w:ascii="Tw Cen MT" w:hAnsi="Tw Cen MT"/>
        </w:rPr>
        <w:t>checking or initialing the applicable options below, the Client</w:t>
      </w:r>
      <w:r w:rsidR="00802DAB" w:rsidRPr="00021BD1">
        <w:rPr>
          <w:rFonts w:ascii="Tw Cen MT" w:hAnsi="Tw Cen MT"/>
        </w:rPr>
        <w:t xml:space="preserve"> consents to sharing information with one or more third </w:t>
      </w:r>
      <w:r w:rsidR="00ED41E0" w:rsidRPr="00021BD1">
        <w:rPr>
          <w:rFonts w:ascii="Tw Cen MT" w:hAnsi="Tw Cen MT"/>
        </w:rPr>
        <w:t>parties</w:t>
      </w:r>
      <w:r w:rsidR="00802DAB" w:rsidRPr="00021BD1">
        <w:rPr>
          <w:rFonts w:ascii="Tw Cen MT" w:hAnsi="Tw Cen MT"/>
        </w:rPr>
        <w:t>.</w:t>
      </w:r>
    </w:p>
    <w:p w14:paraId="7862D080" w14:textId="77777777" w:rsidR="003D0FC9" w:rsidRDefault="003D0FC9" w:rsidP="00E66EE1">
      <w:pPr>
        <w:rPr>
          <w:rFonts w:ascii="Tw Cen MT" w:hAnsi="Tw Cen MT"/>
        </w:rPr>
      </w:pPr>
    </w:p>
    <w:p w14:paraId="66618AAB" w14:textId="77777777" w:rsidR="003D0FC9" w:rsidRDefault="003D0FC9" w:rsidP="00E66EE1">
      <w:pPr>
        <w:rPr>
          <w:rFonts w:ascii="Tw Cen MT" w:hAnsi="Tw Cen MT"/>
        </w:rPr>
      </w:pPr>
    </w:p>
    <w:p w14:paraId="0E30C027" w14:textId="77777777" w:rsidR="003D0FC9" w:rsidRDefault="003D0FC9" w:rsidP="00E66EE1">
      <w:pPr>
        <w:rPr>
          <w:rFonts w:ascii="Tw Cen MT" w:hAnsi="Tw Cen MT"/>
        </w:rPr>
      </w:pPr>
    </w:p>
    <w:p w14:paraId="127C96C6" w14:textId="77777777" w:rsidR="003D0FC9" w:rsidRDefault="003D0FC9" w:rsidP="00E66EE1">
      <w:pPr>
        <w:rPr>
          <w:rFonts w:ascii="Tw Cen MT" w:hAnsi="Tw Cen MT"/>
        </w:rPr>
      </w:pPr>
    </w:p>
    <w:p w14:paraId="2CA92AC4" w14:textId="77777777" w:rsidR="003D0FC9" w:rsidRDefault="003D0FC9" w:rsidP="00E66EE1">
      <w:pPr>
        <w:rPr>
          <w:rFonts w:ascii="Tw Cen MT" w:hAnsi="Tw Cen MT"/>
        </w:rPr>
      </w:pPr>
    </w:p>
    <w:p w14:paraId="0470978F" w14:textId="77777777" w:rsidR="003D0FC9" w:rsidRDefault="003D0FC9" w:rsidP="00E66EE1">
      <w:pPr>
        <w:rPr>
          <w:rFonts w:ascii="Tw Cen MT" w:hAnsi="Tw Cen MT"/>
        </w:rPr>
      </w:pPr>
    </w:p>
    <w:p w14:paraId="49F4CE2B" w14:textId="77777777" w:rsidR="003D0FC9" w:rsidRPr="00021BD1" w:rsidRDefault="003D0FC9" w:rsidP="00E66EE1">
      <w:pPr>
        <w:rPr>
          <w:rFonts w:ascii="Tw Cen MT" w:hAnsi="Tw Cen MT"/>
        </w:rPr>
      </w:pPr>
    </w:p>
    <w:p w14:paraId="3DE56E06" w14:textId="77777777" w:rsidR="00802DAB" w:rsidRPr="00021BD1" w:rsidRDefault="00802DAB" w:rsidP="00E66EE1">
      <w:pPr>
        <w:rPr>
          <w:rFonts w:ascii="Tw Cen MT" w:hAnsi="Tw Cen MT"/>
        </w:rPr>
      </w:pPr>
    </w:p>
    <w:p w14:paraId="0D86451A" w14:textId="77777777" w:rsidR="009A3101" w:rsidRDefault="009A3101" w:rsidP="00E66EE1">
      <w:pPr>
        <w:rPr>
          <w:rFonts w:ascii="Tw Cen MT" w:hAnsi="Tw Cen MT"/>
        </w:rPr>
      </w:pPr>
    </w:p>
    <w:p w14:paraId="5B6F77A5" w14:textId="2468538D" w:rsidR="006133AB" w:rsidRPr="00021BD1" w:rsidRDefault="006133AB" w:rsidP="00E66EE1">
      <w:pPr>
        <w:rPr>
          <w:rFonts w:ascii="Tw Cen MT" w:hAnsi="Tw Cen MT"/>
        </w:rPr>
      </w:pPr>
      <w:r w:rsidRPr="00021BD1">
        <w:rPr>
          <w:rFonts w:ascii="Tw Cen MT" w:hAnsi="Tw Cen MT"/>
        </w:rPr>
        <w:t>_______</w:t>
      </w:r>
      <w:r w:rsidR="00D21A78">
        <w:rPr>
          <w:rFonts w:ascii="Tw Cen MT" w:hAnsi="Tw Cen MT"/>
        </w:rPr>
        <w:t xml:space="preserve"> (Initial) </w:t>
      </w:r>
      <w:r w:rsidR="007D2BBD" w:rsidRPr="00021BD1">
        <w:rPr>
          <w:rFonts w:ascii="Tw Cen MT" w:hAnsi="Tw Cen MT"/>
        </w:rPr>
        <w:t xml:space="preserve">If my spouse is not a party to this Agreement, </w:t>
      </w:r>
      <w:r w:rsidR="00802DAB" w:rsidRPr="00021BD1">
        <w:rPr>
          <w:rFonts w:ascii="Tw Cen MT" w:hAnsi="Tw Cen MT"/>
        </w:rPr>
        <w:t xml:space="preserve">I give the </w:t>
      </w:r>
      <w:r w:rsidR="00EA3400">
        <w:rPr>
          <w:rFonts w:ascii="Tw Cen MT" w:hAnsi="Tw Cen MT"/>
        </w:rPr>
        <w:t>Adviser</w:t>
      </w:r>
      <w:r w:rsidR="00802DAB" w:rsidRPr="00021BD1">
        <w:rPr>
          <w:rFonts w:ascii="Tw Cen MT" w:hAnsi="Tw Cen MT"/>
        </w:rPr>
        <w:t xml:space="preserve"> permission to share information such</w:t>
      </w:r>
      <w:r w:rsidR="00C50495" w:rsidRPr="00021BD1">
        <w:rPr>
          <w:rFonts w:ascii="Tw Cen MT" w:hAnsi="Tw Cen MT"/>
        </w:rPr>
        <w:t xml:space="preserve"> as my account balances, positions, </w:t>
      </w:r>
      <w:r w:rsidR="00926182" w:rsidRPr="00021BD1">
        <w:rPr>
          <w:rFonts w:ascii="Tw Cen MT" w:hAnsi="Tw Cen MT"/>
        </w:rPr>
        <w:t>and transactions regarding my accounts with my spouse.</w:t>
      </w:r>
    </w:p>
    <w:p w14:paraId="6B91E23E" w14:textId="1F69D097" w:rsidR="00F850A1" w:rsidRDefault="006133AB" w:rsidP="00E66EE1">
      <w:pPr>
        <w:rPr>
          <w:rFonts w:ascii="Tw Cen MT" w:hAnsi="Tw Cen MT"/>
        </w:rPr>
      </w:pPr>
      <w:r w:rsidRPr="00021BD1">
        <w:rPr>
          <w:rFonts w:ascii="Tw Cen MT" w:hAnsi="Tw Cen MT"/>
        </w:rPr>
        <w:t>_______</w:t>
      </w:r>
      <w:r w:rsidR="00D21A78">
        <w:rPr>
          <w:rFonts w:ascii="Tw Cen MT" w:hAnsi="Tw Cen MT"/>
        </w:rPr>
        <w:t xml:space="preserve"> (Initial) </w:t>
      </w:r>
      <w:r w:rsidRPr="00021BD1">
        <w:rPr>
          <w:rFonts w:ascii="Tw Cen MT" w:hAnsi="Tw Cen MT"/>
        </w:rPr>
        <w:t xml:space="preserve">I give the </w:t>
      </w:r>
      <w:r w:rsidR="00EA3400">
        <w:rPr>
          <w:rFonts w:ascii="Tw Cen MT" w:hAnsi="Tw Cen MT"/>
        </w:rPr>
        <w:t>Adviser</w:t>
      </w:r>
      <w:r w:rsidRPr="00021BD1">
        <w:rPr>
          <w:rFonts w:ascii="Tw Cen MT" w:hAnsi="Tw Cen MT"/>
        </w:rPr>
        <w:t xml:space="preserve"> permission to share </w:t>
      </w:r>
      <w:r w:rsidR="00F655FD" w:rsidRPr="00021BD1">
        <w:rPr>
          <w:rFonts w:ascii="Tw Cen MT" w:hAnsi="Tw Cen MT"/>
        </w:rPr>
        <w:t>information such as my account balances, positions, and transactions</w:t>
      </w:r>
      <w:r w:rsidR="0017403E" w:rsidRPr="00021BD1">
        <w:rPr>
          <w:rFonts w:ascii="Tw Cen MT" w:hAnsi="Tw Cen MT"/>
        </w:rPr>
        <w:t xml:space="preserve"> with: ___________________________________________________________________</w:t>
      </w:r>
      <w:r w:rsidR="00483EF9" w:rsidRPr="00021BD1">
        <w:rPr>
          <w:rFonts w:ascii="Tw Cen MT" w:hAnsi="Tw Cen MT"/>
        </w:rPr>
        <w:t xml:space="preserve">. </w:t>
      </w:r>
      <w:r w:rsidR="008D6307" w:rsidRPr="00021BD1">
        <w:rPr>
          <w:rFonts w:ascii="Tw Cen MT" w:hAnsi="Tw Cen MT"/>
        </w:rPr>
        <w:t>If you choose to not add a name</w:t>
      </w:r>
      <w:r w:rsidR="003E7201" w:rsidRPr="00021BD1">
        <w:rPr>
          <w:rFonts w:ascii="Tw Cen MT" w:hAnsi="Tw Cen MT"/>
        </w:rPr>
        <w:t>, please input “N/A</w:t>
      </w:r>
      <w:r w:rsidR="000B2B74" w:rsidRPr="00021BD1">
        <w:rPr>
          <w:rFonts w:ascii="Tw Cen MT" w:hAnsi="Tw Cen MT"/>
        </w:rPr>
        <w:t>.”</w:t>
      </w:r>
      <w:r w:rsidR="00F850A1">
        <w:rPr>
          <w:rFonts w:ascii="Tw Cen MT" w:hAnsi="Tw Cen MT"/>
        </w:rPr>
        <w:t xml:space="preserve"> [Examples – CPA, attorney, other family member]</w:t>
      </w:r>
    </w:p>
    <w:p w14:paraId="26560E97" w14:textId="57BAE30C" w:rsidR="003B2C63" w:rsidRDefault="003B2C63" w:rsidP="00E66EE1">
      <w:pPr>
        <w:rPr>
          <w:rFonts w:ascii="Tw Cen MT" w:hAnsi="Tw Cen MT"/>
        </w:rPr>
      </w:pPr>
    </w:p>
    <w:p w14:paraId="5624C691" w14:textId="52BFFF07" w:rsidR="0022405E" w:rsidRDefault="0022405E" w:rsidP="0022405E">
      <w:pPr>
        <w:pStyle w:val="Heading2"/>
      </w:pPr>
      <w:r>
        <w:t xml:space="preserve">Section </w:t>
      </w:r>
      <w:r w:rsidR="0017403E">
        <w:t>20</w:t>
      </w:r>
      <w:r>
        <w:t xml:space="preserve"> – Signatures</w:t>
      </w:r>
    </w:p>
    <w:p w14:paraId="40E024D3" w14:textId="0987FF75" w:rsidR="006810E7" w:rsidRPr="006810E7" w:rsidRDefault="006810E7" w:rsidP="006810E7">
      <w:pPr>
        <w:rPr>
          <w:rFonts w:ascii="Tw Cen MT" w:hAnsi="Tw Cen MT"/>
        </w:rPr>
      </w:pPr>
      <w:r w:rsidRPr="006810E7">
        <w:rPr>
          <w:rFonts w:ascii="Tw Cen MT" w:hAnsi="Tw Cen MT"/>
        </w:rPr>
        <w:t xml:space="preserve">This Agreement </w:t>
      </w:r>
      <w:r w:rsidR="00975DC2">
        <w:rPr>
          <w:rFonts w:ascii="Tw Cen MT" w:hAnsi="Tw Cen MT"/>
        </w:rPr>
        <w:t xml:space="preserve">(including any Appendices) </w:t>
      </w:r>
      <w:r w:rsidRPr="006810E7">
        <w:rPr>
          <w:rFonts w:ascii="Tw Cen MT" w:hAnsi="Tw Cen MT"/>
        </w:rPr>
        <w:t xml:space="preserve">shall be effective upon the signatures of all the undersigned parties. </w:t>
      </w:r>
    </w:p>
    <w:p w14:paraId="62E0A8B6" w14:textId="7745DBFA" w:rsidR="00D13071" w:rsidRPr="003D0FC9" w:rsidRDefault="00D13071" w:rsidP="006810E7">
      <w:pPr>
        <w:rPr>
          <w:rFonts w:ascii="Tw Cen MT" w:hAnsi="Tw Cen MT"/>
          <w:u w:val="single"/>
        </w:rPr>
      </w:pPr>
    </w:p>
    <w:p w14:paraId="3E09084C" w14:textId="70D3AA83" w:rsidR="006810E7" w:rsidRPr="006810E7" w:rsidRDefault="003D0FC9" w:rsidP="006810E7">
      <w:pPr>
        <w:rPr>
          <w:rFonts w:ascii="Tw Cen MT" w:hAnsi="Tw Cen MT"/>
        </w:rPr>
      </w:pPr>
      <w:r>
        <w:rPr>
          <w:rFonts w:ascii="Tw Cen MT" w:hAnsi="Tw Cen MT"/>
        </w:rPr>
        <w:t>Client 1</w:t>
      </w:r>
      <w:r w:rsidR="006810E7" w:rsidRPr="006810E7">
        <w:rPr>
          <w:rFonts w:ascii="Tw Cen MT" w:hAnsi="Tw Cen MT"/>
        </w:rPr>
        <w:t>Printed Name: _______________________________</w:t>
      </w:r>
    </w:p>
    <w:p w14:paraId="7B902A51" w14:textId="40E99620" w:rsidR="006810E7" w:rsidRPr="006810E7" w:rsidRDefault="00FC6016" w:rsidP="006810E7">
      <w:pPr>
        <w:rPr>
          <w:rFonts w:ascii="Tw Cen MT" w:hAnsi="Tw Cen MT"/>
        </w:rPr>
      </w:pPr>
      <w:r w:rsidRPr="006810E7">
        <w:rPr>
          <w:rFonts w:ascii="Tw Cen MT" w:hAnsi="Tw Cen MT"/>
        </w:rPr>
        <w:t xml:space="preserve">Signature: </w:t>
      </w:r>
      <w:r w:rsidR="006810E7" w:rsidRPr="006810E7">
        <w:rPr>
          <w:rFonts w:ascii="Tw Cen MT" w:hAnsi="Tw Cen MT"/>
        </w:rPr>
        <w:t>_________________________________</w:t>
      </w:r>
      <w:r w:rsidR="006810E7" w:rsidRPr="006810E7">
        <w:rPr>
          <w:rFonts w:ascii="Tw Cen MT" w:hAnsi="Tw Cen MT"/>
        </w:rPr>
        <w:tab/>
      </w:r>
      <w:r w:rsidR="0022405E" w:rsidRPr="006810E7">
        <w:rPr>
          <w:rFonts w:ascii="Tw Cen MT" w:hAnsi="Tw Cen MT"/>
        </w:rPr>
        <w:t>Date: _</w:t>
      </w:r>
      <w:r w:rsidR="006810E7" w:rsidRPr="006810E7">
        <w:rPr>
          <w:rFonts w:ascii="Tw Cen MT" w:hAnsi="Tw Cen MT"/>
        </w:rPr>
        <w:t>_________________</w:t>
      </w:r>
    </w:p>
    <w:p w14:paraId="64B4560B" w14:textId="77777777" w:rsidR="006810E7" w:rsidRPr="006810E7" w:rsidRDefault="006810E7" w:rsidP="006810E7">
      <w:pPr>
        <w:rPr>
          <w:rFonts w:ascii="Tw Cen MT" w:hAnsi="Tw Cen MT"/>
        </w:rPr>
      </w:pPr>
    </w:p>
    <w:p w14:paraId="756C0BE5" w14:textId="7BFB6E7F" w:rsidR="006810E7" w:rsidRPr="006810E7" w:rsidRDefault="003D0FC9" w:rsidP="006810E7">
      <w:pPr>
        <w:rPr>
          <w:rFonts w:ascii="Tw Cen MT" w:hAnsi="Tw Cen MT"/>
        </w:rPr>
      </w:pPr>
      <w:r>
        <w:rPr>
          <w:rFonts w:ascii="Tw Cen MT" w:hAnsi="Tw Cen MT"/>
        </w:rPr>
        <w:t xml:space="preserve">Client 2 </w:t>
      </w:r>
      <w:r w:rsidR="006810E7" w:rsidRPr="006810E7">
        <w:rPr>
          <w:rFonts w:ascii="Tw Cen MT" w:hAnsi="Tw Cen MT"/>
        </w:rPr>
        <w:t>Printed Name: _______________________________</w:t>
      </w:r>
    </w:p>
    <w:p w14:paraId="4D113F9C" w14:textId="624493C2" w:rsidR="006810E7" w:rsidRPr="006810E7" w:rsidRDefault="00FC6016" w:rsidP="006810E7">
      <w:pPr>
        <w:rPr>
          <w:rFonts w:ascii="Tw Cen MT" w:hAnsi="Tw Cen MT"/>
        </w:rPr>
      </w:pPr>
      <w:r w:rsidRPr="006810E7">
        <w:rPr>
          <w:rFonts w:ascii="Tw Cen MT" w:hAnsi="Tw Cen MT"/>
        </w:rPr>
        <w:t xml:space="preserve">Signature: </w:t>
      </w:r>
      <w:r w:rsidR="006810E7" w:rsidRPr="006810E7">
        <w:rPr>
          <w:rFonts w:ascii="Tw Cen MT" w:hAnsi="Tw Cen MT"/>
        </w:rPr>
        <w:t>_________________________________</w:t>
      </w:r>
      <w:r w:rsidR="006810E7" w:rsidRPr="006810E7">
        <w:rPr>
          <w:rFonts w:ascii="Tw Cen MT" w:hAnsi="Tw Cen MT"/>
        </w:rPr>
        <w:tab/>
      </w:r>
      <w:r w:rsidR="0022405E" w:rsidRPr="006810E7">
        <w:rPr>
          <w:rFonts w:ascii="Tw Cen MT" w:hAnsi="Tw Cen MT"/>
        </w:rPr>
        <w:t>Date: _</w:t>
      </w:r>
      <w:r w:rsidR="006810E7" w:rsidRPr="006810E7">
        <w:rPr>
          <w:rFonts w:ascii="Tw Cen MT" w:hAnsi="Tw Cen MT"/>
        </w:rPr>
        <w:t>_________________</w:t>
      </w:r>
    </w:p>
    <w:p w14:paraId="29C22169" w14:textId="77777777" w:rsidR="006810E7" w:rsidRDefault="006810E7" w:rsidP="006810E7">
      <w:pPr>
        <w:rPr>
          <w:rFonts w:ascii="Tw Cen MT" w:hAnsi="Tw Cen MT"/>
        </w:rPr>
      </w:pPr>
    </w:p>
    <w:p w14:paraId="16AEE3D5" w14:textId="588259C6" w:rsidR="00F850A1" w:rsidRDefault="00F850A1" w:rsidP="006810E7">
      <w:pPr>
        <w:rPr>
          <w:rFonts w:ascii="Tw Cen MT" w:hAnsi="Tw Cen MT"/>
        </w:rPr>
      </w:pPr>
      <w:r>
        <w:rPr>
          <w:rFonts w:ascii="Tw Cen MT" w:hAnsi="Tw Cen MT"/>
        </w:rPr>
        <w:t>________________</w:t>
      </w:r>
      <w:proofErr w:type="gramStart"/>
      <w:r>
        <w:rPr>
          <w:rFonts w:ascii="Tw Cen MT" w:hAnsi="Tw Cen MT"/>
        </w:rPr>
        <w:t>_  Initial</w:t>
      </w:r>
      <w:proofErr w:type="gramEnd"/>
      <w:r>
        <w:rPr>
          <w:rFonts w:ascii="Tw Cen MT" w:hAnsi="Tw Cen MT"/>
        </w:rPr>
        <w:t xml:space="preserve">(s) here </w:t>
      </w:r>
      <w:r w:rsidRPr="00F850A1">
        <w:rPr>
          <w:rFonts w:ascii="Tw Cen MT" w:hAnsi="Tw Cen MT"/>
          <w:b/>
          <w:bCs/>
          <w:highlight w:val="yellow"/>
        </w:rPr>
        <w:t>ONLY if you wish to opt out of discretionary trading authorization</w:t>
      </w:r>
      <w:r>
        <w:rPr>
          <w:rFonts w:ascii="Tw Cen MT" w:hAnsi="Tw Cen MT"/>
        </w:rPr>
        <w:t xml:space="preserve"> described in Section 10 of this agreement.  All FPH clients are strongly encouraged to elect discretionary trading authorization, but we can accommodate specific client opt-out requests.</w:t>
      </w:r>
    </w:p>
    <w:p w14:paraId="5DEEE398" w14:textId="77777777" w:rsidR="00F850A1" w:rsidRPr="006810E7" w:rsidRDefault="00F850A1" w:rsidP="006810E7">
      <w:pPr>
        <w:rPr>
          <w:rFonts w:ascii="Tw Cen MT" w:hAnsi="Tw Cen MT"/>
        </w:rPr>
      </w:pPr>
    </w:p>
    <w:p w14:paraId="68878621" w14:textId="7605089F" w:rsidR="0079768E" w:rsidRDefault="00F05A27" w:rsidP="006810E7">
      <w:pPr>
        <w:rPr>
          <w:rFonts w:ascii="Tw Cen MT" w:hAnsi="Tw Cen MT"/>
        </w:rPr>
      </w:pPr>
      <w:r w:rsidRPr="00F05A27">
        <w:rPr>
          <w:rFonts w:ascii="Tw Cen MT" w:hAnsi="Tw Cen MT"/>
        </w:rPr>
        <w:t>Email Addresses (for Electronic Delivery Authorization as provided for in Section 6.</w:t>
      </w:r>
      <w:r w:rsidR="00534C09">
        <w:rPr>
          <w:rFonts w:ascii="Tw Cen MT" w:hAnsi="Tw Cen MT"/>
        </w:rPr>
        <w:t>)</w:t>
      </w:r>
    </w:p>
    <w:p w14:paraId="624754E0" w14:textId="4F13F55F" w:rsidR="00D13071" w:rsidRDefault="00F850A1" w:rsidP="006810E7">
      <w:pPr>
        <w:rPr>
          <w:rFonts w:ascii="Tw Cen MT" w:hAnsi="Tw Cen MT"/>
        </w:rPr>
      </w:pPr>
      <w:r>
        <w:rPr>
          <w:rFonts w:ascii="Tw Cen MT" w:hAnsi="Tw Cen MT"/>
        </w:rPr>
        <w:t>Client 1</w:t>
      </w:r>
      <w:r w:rsidR="00D13071">
        <w:rPr>
          <w:rFonts w:ascii="Tw Cen MT" w:hAnsi="Tw Cen MT"/>
        </w:rPr>
        <w:t xml:space="preserve">Email </w:t>
      </w:r>
      <w:r w:rsidR="00975DC2">
        <w:rPr>
          <w:rFonts w:ascii="Tw Cen MT" w:hAnsi="Tw Cen MT"/>
        </w:rPr>
        <w:t>Address: _</w:t>
      </w:r>
      <w:r w:rsidR="00D13071">
        <w:rPr>
          <w:rFonts w:ascii="Tw Cen MT" w:hAnsi="Tw Cen MT"/>
        </w:rPr>
        <w:t>____________________________________________</w:t>
      </w:r>
    </w:p>
    <w:p w14:paraId="372C845F" w14:textId="3F562341" w:rsidR="00D13071" w:rsidRDefault="00F850A1" w:rsidP="006810E7">
      <w:pPr>
        <w:rPr>
          <w:rFonts w:ascii="Tw Cen MT" w:hAnsi="Tw Cen MT"/>
        </w:rPr>
      </w:pPr>
      <w:r>
        <w:rPr>
          <w:rFonts w:ascii="Tw Cen MT" w:hAnsi="Tw Cen MT"/>
        </w:rPr>
        <w:t>Client 2</w:t>
      </w:r>
      <w:r w:rsidR="00D13071">
        <w:rPr>
          <w:rFonts w:ascii="Tw Cen MT" w:hAnsi="Tw Cen MT"/>
        </w:rPr>
        <w:t xml:space="preserve"> </w:t>
      </w:r>
      <w:r w:rsidR="00975DC2">
        <w:rPr>
          <w:rFonts w:ascii="Tw Cen MT" w:hAnsi="Tw Cen MT"/>
        </w:rPr>
        <w:t>Address: _</w:t>
      </w:r>
      <w:r w:rsidR="00D13071">
        <w:rPr>
          <w:rFonts w:ascii="Tw Cen MT" w:hAnsi="Tw Cen MT"/>
        </w:rPr>
        <w:t>____________________________________________</w:t>
      </w:r>
    </w:p>
    <w:p w14:paraId="12E9CA14" w14:textId="77777777" w:rsidR="00F05A27" w:rsidRPr="00F05A27" w:rsidRDefault="00F05A27" w:rsidP="006810E7">
      <w:pPr>
        <w:rPr>
          <w:rFonts w:ascii="Tw Cen MT" w:hAnsi="Tw Cen MT"/>
        </w:rPr>
      </w:pPr>
    </w:p>
    <w:p w14:paraId="3994D036" w14:textId="77777777" w:rsidR="00F850A1" w:rsidRDefault="00F850A1" w:rsidP="006810E7">
      <w:pPr>
        <w:rPr>
          <w:rFonts w:ascii="Tw Cen MT" w:hAnsi="Tw Cen MT"/>
          <w:u w:val="single"/>
        </w:rPr>
      </w:pPr>
    </w:p>
    <w:p w14:paraId="4D9A1D32" w14:textId="77777777" w:rsidR="00F850A1" w:rsidRDefault="00F850A1" w:rsidP="006810E7">
      <w:pPr>
        <w:rPr>
          <w:rFonts w:ascii="Tw Cen MT" w:hAnsi="Tw Cen MT"/>
          <w:u w:val="single"/>
        </w:rPr>
      </w:pPr>
    </w:p>
    <w:p w14:paraId="52320F45" w14:textId="77777777" w:rsidR="00F850A1" w:rsidRDefault="00F850A1" w:rsidP="006810E7">
      <w:pPr>
        <w:rPr>
          <w:rFonts w:ascii="Tw Cen MT" w:hAnsi="Tw Cen MT"/>
          <w:u w:val="single"/>
        </w:rPr>
      </w:pPr>
    </w:p>
    <w:p w14:paraId="6911F20B" w14:textId="2C5EF6E2" w:rsidR="006810E7" w:rsidRPr="003D0FC9" w:rsidRDefault="00F35288" w:rsidP="006810E7">
      <w:pPr>
        <w:rPr>
          <w:rFonts w:ascii="Tw Cen MT" w:hAnsi="Tw Cen MT"/>
          <w:u w:val="single"/>
        </w:rPr>
      </w:pPr>
      <w:r>
        <w:rPr>
          <w:rFonts w:ascii="Tw Cen MT" w:hAnsi="Tw Cen MT"/>
          <w:u w:val="single"/>
        </w:rPr>
        <w:t>Financial Planning Hawaii</w:t>
      </w:r>
      <w:r w:rsidR="006810E7" w:rsidRPr="006810E7">
        <w:rPr>
          <w:rFonts w:ascii="Tw Cen MT" w:hAnsi="Tw Cen MT"/>
        </w:rPr>
        <w:t xml:space="preserve">                                                                                               </w:t>
      </w:r>
      <w:r w:rsidR="006810E7" w:rsidRPr="006810E7">
        <w:rPr>
          <w:rFonts w:ascii="Tw Cen MT" w:hAnsi="Tw Cen MT"/>
        </w:rPr>
        <w:tab/>
        <w:t xml:space="preserve"> </w:t>
      </w:r>
    </w:p>
    <w:p w14:paraId="6439DAD5" w14:textId="77CAFD23" w:rsidR="006810E7" w:rsidRPr="006810E7" w:rsidRDefault="006810E7" w:rsidP="006810E7">
      <w:pPr>
        <w:rPr>
          <w:rFonts w:ascii="Tw Cen MT" w:hAnsi="Tw Cen MT"/>
        </w:rPr>
      </w:pPr>
      <w:r w:rsidRPr="006810E7">
        <w:rPr>
          <w:rFonts w:ascii="Tw Cen MT" w:hAnsi="Tw Cen MT"/>
        </w:rPr>
        <w:t>Printed Name: ______________________________</w:t>
      </w:r>
    </w:p>
    <w:p w14:paraId="109C07B4" w14:textId="3973F51E" w:rsidR="003D0FC9" w:rsidRPr="003D0FC9" w:rsidRDefault="006810E7" w:rsidP="003D0FC9">
      <w:pPr>
        <w:rPr>
          <w:rFonts w:ascii="Tw Cen MT" w:hAnsi="Tw Cen MT"/>
        </w:rPr>
      </w:pPr>
      <w:r w:rsidRPr="006810E7">
        <w:rPr>
          <w:rFonts w:ascii="Tw Cen MT" w:hAnsi="Tw Cen MT"/>
        </w:rPr>
        <w:t>Signature: _________________________________</w:t>
      </w:r>
      <w:r w:rsidRPr="006810E7">
        <w:rPr>
          <w:rFonts w:ascii="Tw Cen MT" w:hAnsi="Tw Cen MT"/>
        </w:rPr>
        <w:tab/>
      </w:r>
      <w:r w:rsidR="009316F4" w:rsidRPr="006810E7">
        <w:rPr>
          <w:rFonts w:ascii="Tw Cen MT" w:hAnsi="Tw Cen MT"/>
        </w:rPr>
        <w:t>Date: _</w:t>
      </w:r>
      <w:r w:rsidRPr="006810E7">
        <w:rPr>
          <w:rFonts w:ascii="Tw Cen MT" w:hAnsi="Tw Cen MT"/>
        </w:rPr>
        <w:t>_________________</w:t>
      </w:r>
    </w:p>
    <w:sectPr w:rsidR="003D0FC9" w:rsidRPr="003D0F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21E4" w14:textId="77777777" w:rsidR="00AC62CC" w:rsidRDefault="00AC62CC" w:rsidP="00294C16">
      <w:pPr>
        <w:spacing w:after="0" w:line="240" w:lineRule="auto"/>
      </w:pPr>
      <w:r>
        <w:separator/>
      </w:r>
    </w:p>
  </w:endnote>
  <w:endnote w:type="continuationSeparator" w:id="0">
    <w:p w14:paraId="0812D743" w14:textId="77777777" w:rsidR="00AC62CC" w:rsidRDefault="00AC62CC" w:rsidP="0029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156003"/>
      <w:docPartObj>
        <w:docPartGallery w:val="Page Numbers (Bottom of Page)"/>
        <w:docPartUnique/>
      </w:docPartObj>
    </w:sdtPr>
    <w:sdtEndPr>
      <w:rPr>
        <w:noProof/>
      </w:rPr>
    </w:sdtEndPr>
    <w:sdtContent>
      <w:p w14:paraId="0D951161" w14:textId="6760EE12" w:rsidR="00294C16" w:rsidRDefault="00294C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F2D10" w14:textId="77777777" w:rsidR="00294C16" w:rsidRDefault="0029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C49E" w14:textId="77777777" w:rsidR="00AC62CC" w:rsidRDefault="00AC62CC" w:rsidP="00294C16">
      <w:pPr>
        <w:spacing w:after="0" w:line="240" w:lineRule="auto"/>
      </w:pPr>
      <w:r>
        <w:separator/>
      </w:r>
    </w:p>
  </w:footnote>
  <w:footnote w:type="continuationSeparator" w:id="0">
    <w:p w14:paraId="0EC46215" w14:textId="77777777" w:rsidR="00AC62CC" w:rsidRDefault="00AC62CC" w:rsidP="0029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7CEA" w14:textId="35171183" w:rsidR="00A12059" w:rsidRDefault="007B4125" w:rsidP="00A12059">
    <w:pPr>
      <w:pStyle w:val="Header"/>
      <w:jc w:val="center"/>
    </w:pPr>
    <w:r>
      <w:rPr>
        <w:b/>
        <w:bCs/>
        <w:noProof/>
      </w:rPr>
      <w:drawing>
        <wp:inline distT="0" distB="0" distL="0" distR="0" wp14:anchorId="0792A221" wp14:editId="1F628709">
          <wp:extent cx="2352675" cy="1000125"/>
          <wp:effectExtent l="0" t="0" r="9525" b="9525"/>
          <wp:docPr id="1532804704" name="Picture 1532804704" descr="Financial-Planning-Hawaii-Blue-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ial-Planning-Hawaii-Blue-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9B0"/>
    <w:multiLevelType w:val="multilevel"/>
    <w:tmpl w:val="2078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E3C71"/>
    <w:multiLevelType w:val="multilevel"/>
    <w:tmpl w:val="FA3A2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4046FD"/>
    <w:multiLevelType w:val="multilevel"/>
    <w:tmpl w:val="478A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7B3AEE"/>
    <w:multiLevelType w:val="multilevel"/>
    <w:tmpl w:val="E3B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43EB4"/>
    <w:multiLevelType w:val="hybridMultilevel"/>
    <w:tmpl w:val="28E07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D97F02"/>
    <w:multiLevelType w:val="multilevel"/>
    <w:tmpl w:val="6F7C5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F673C"/>
    <w:multiLevelType w:val="multilevel"/>
    <w:tmpl w:val="5EECDF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4926113">
    <w:abstractNumId w:val="6"/>
  </w:num>
  <w:num w:numId="2" w16cid:durableId="1404715154">
    <w:abstractNumId w:val="4"/>
  </w:num>
  <w:num w:numId="3" w16cid:durableId="1343237333">
    <w:abstractNumId w:val="3"/>
  </w:num>
  <w:num w:numId="4" w16cid:durableId="1846356977">
    <w:abstractNumId w:val="0"/>
  </w:num>
  <w:num w:numId="5" w16cid:durableId="1557857868">
    <w:abstractNumId w:val="5"/>
    <w:lvlOverride w:ilvl="0">
      <w:lvl w:ilvl="0">
        <w:numFmt w:val="lowerLetter"/>
        <w:lvlText w:val="%1."/>
        <w:lvlJc w:val="left"/>
      </w:lvl>
    </w:lvlOverride>
  </w:num>
  <w:num w:numId="6" w16cid:durableId="59641867">
    <w:abstractNumId w:val="5"/>
    <w:lvlOverride w:ilvl="0">
      <w:lvl w:ilvl="0">
        <w:numFmt w:val="lowerLetter"/>
        <w:lvlText w:val="%1."/>
        <w:lvlJc w:val="left"/>
      </w:lvl>
    </w:lvlOverride>
  </w:num>
  <w:num w:numId="7" w16cid:durableId="830604787">
    <w:abstractNumId w:val="2"/>
    <w:lvlOverride w:ilvl="0">
      <w:lvl w:ilvl="0">
        <w:numFmt w:val="lowerLetter"/>
        <w:lvlText w:val="%1."/>
        <w:lvlJc w:val="left"/>
      </w:lvl>
    </w:lvlOverride>
  </w:num>
  <w:num w:numId="8" w16cid:durableId="1831018521">
    <w:abstractNumId w:val="2"/>
    <w:lvlOverride w:ilvl="0">
      <w:lvl w:ilvl="0">
        <w:numFmt w:val="lowerLetter"/>
        <w:lvlText w:val="%1."/>
        <w:lvlJc w:val="left"/>
      </w:lvl>
    </w:lvlOverride>
  </w:num>
  <w:num w:numId="9" w16cid:durableId="732433417">
    <w:abstractNumId w:val="2"/>
    <w:lvlOverride w:ilvl="0">
      <w:lvl w:ilvl="0">
        <w:numFmt w:val="lowerLetter"/>
        <w:lvlText w:val="%1."/>
        <w:lvlJc w:val="left"/>
      </w:lvl>
    </w:lvlOverride>
  </w:num>
  <w:num w:numId="10" w16cid:durableId="1252742991">
    <w:abstractNumId w:val="2"/>
    <w:lvlOverride w:ilvl="0">
      <w:lvl w:ilvl="0">
        <w:numFmt w:val="lowerLetter"/>
        <w:lvlText w:val="%1."/>
        <w:lvlJc w:val="left"/>
      </w:lvl>
    </w:lvlOverride>
  </w:num>
  <w:num w:numId="11" w16cid:durableId="440495876">
    <w:abstractNumId w:val="2"/>
    <w:lvlOverride w:ilvl="0">
      <w:lvl w:ilvl="0">
        <w:numFmt w:val="lowerLetter"/>
        <w:lvlText w:val="%1."/>
        <w:lvlJc w:val="left"/>
      </w:lvl>
    </w:lvlOverride>
  </w:num>
  <w:num w:numId="12" w16cid:durableId="430053352">
    <w:abstractNumId w:val="1"/>
    <w:lvlOverride w:ilvl="0">
      <w:lvl w:ilvl="0">
        <w:numFmt w:val="lowerLetter"/>
        <w:lvlText w:val="%1."/>
        <w:lvlJc w:val="left"/>
      </w:lvl>
    </w:lvlOverride>
  </w:num>
  <w:num w:numId="13" w16cid:durableId="1920141632">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2B"/>
    <w:rsid w:val="00003DBB"/>
    <w:rsid w:val="00004B80"/>
    <w:rsid w:val="000058B0"/>
    <w:rsid w:val="000103AD"/>
    <w:rsid w:val="00011715"/>
    <w:rsid w:val="00011E8F"/>
    <w:rsid w:val="00012167"/>
    <w:rsid w:val="0001662B"/>
    <w:rsid w:val="00017FBB"/>
    <w:rsid w:val="00021BD1"/>
    <w:rsid w:val="00021C1A"/>
    <w:rsid w:val="00022604"/>
    <w:rsid w:val="00027066"/>
    <w:rsid w:val="000312FA"/>
    <w:rsid w:val="00035139"/>
    <w:rsid w:val="0003773D"/>
    <w:rsid w:val="00040995"/>
    <w:rsid w:val="00042F96"/>
    <w:rsid w:val="000557A4"/>
    <w:rsid w:val="0006284A"/>
    <w:rsid w:val="000673AE"/>
    <w:rsid w:val="00067E6F"/>
    <w:rsid w:val="0007675C"/>
    <w:rsid w:val="00077354"/>
    <w:rsid w:val="0007771B"/>
    <w:rsid w:val="000856D1"/>
    <w:rsid w:val="00090596"/>
    <w:rsid w:val="000909FF"/>
    <w:rsid w:val="000921DD"/>
    <w:rsid w:val="00096584"/>
    <w:rsid w:val="000A0419"/>
    <w:rsid w:val="000A1879"/>
    <w:rsid w:val="000A1CAA"/>
    <w:rsid w:val="000A5A01"/>
    <w:rsid w:val="000B1058"/>
    <w:rsid w:val="000B2B74"/>
    <w:rsid w:val="000B4381"/>
    <w:rsid w:val="000C0EF7"/>
    <w:rsid w:val="000C643B"/>
    <w:rsid w:val="000C6AEE"/>
    <w:rsid w:val="000D09D2"/>
    <w:rsid w:val="000D17D5"/>
    <w:rsid w:val="000D32DA"/>
    <w:rsid w:val="000D4699"/>
    <w:rsid w:val="000D67F7"/>
    <w:rsid w:val="000E0725"/>
    <w:rsid w:val="000E0740"/>
    <w:rsid w:val="000E487C"/>
    <w:rsid w:val="000F4399"/>
    <w:rsid w:val="000F71B7"/>
    <w:rsid w:val="00104F85"/>
    <w:rsid w:val="00105A4E"/>
    <w:rsid w:val="00113895"/>
    <w:rsid w:val="0011485A"/>
    <w:rsid w:val="00114E44"/>
    <w:rsid w:val="001174B9"/>
    <w:rsid w:val="001178AB"/>
    <w:rsid w:val="00121E88"/>
    <w:rsid w:val="001326E2"/>
    <w:rsid w:val="00140766"/>
    <w:rsid w:val="00143DA5"/>
    <w:rsid w:val="00146A87"/>
    <w:rsid w:val="00146CA5"/>
    <w:rsid w:val="001525E3"/>
    <w:rsid w:val="001540A1"/>
    <w:rsid w:val="00161160"/>
    <w:rsid w:val="00162B38"/>
    <w:rsid w:val="00162D55"/>
    <w:rsid w:val="001630C3"/>
    <w:rsid w:val="00166115"/>
    <w:rsid w:val="00166AA2"/>
    <w:rsid w:val="00166B99"/>
    <w:rsid w:val="0017030F"/>
    <w:rsid w:val="00170A14"/>
    <w:rsid w:val="00170D08"/>
    <w:rsid w:val="001719B9"/>
    <w:rsid w:val="00173436"/>
    <w:rsid w:val="0017403E"/>
    <w:rsid w:val="00177A0C"/>
    <w:rsid w:val="00182175"/>
    <w:rsid w:val="00184D08"/>
    <w:rsid w:val="00185BD3"/>
    <w:rsid w:val="00185D64"/>
    <w:rsid w:val="00191518"/>
    <w:rsid w:val="001941B1"/>
    <w:rsid w:val="00195E12"/>
    <w:rsid w:val="001A1238"/>
    <w:rsid w:val="001A5D83"/>
    <w:rsid w:val="001B3C73"/>
    <w:rsid w:val="001B5C64"/>
    <w:rsid w:val="001B76F7"/>
    <w:rsid w:val="001C558A"/>
    <w:rsid w:val="001C6438"/>
    <w:rsid w:val="001D0650"/>
    <w:rsid w:val="001D47D4"/>
    <w:rsid w:val="001E2691"/>
    <w:rsid w:val="001E2AFE"/>
    <w:rsid w:val="001E3396"/>
    <w:rsid w:val="001E4561"/>
    <w:rsid w:val="001E5321"/>
    <w:rsid w:val="001E7FE8"/>
    <w:rsid w:val="001F0C11"/>
    <w:rsid w:val="001F1913"/>
    <w:rsid w:val="002009EB"/>
    <w:rsid w:val="00202959"/>
    <w:rsid w:val="00202DED"/>
    <w:rsid w:val="00204DCD"/>
    <w:rsid w:val="0020584D"/>
    <w:rsid w:val="002059A2"/>
    <w:rsid w:val="00214BB9"/>
    <w:rsid w:val="00220605"/>
    <w:rsid w:val="0022405E"/>
    <w:rsid w:val="00230D1D"/>
    <w:rsid w:val="0023311F"/>
    <w:rsid w:val="00235897"/>
    <w:rsid w:val="002422E5"/>
    <w:rsid w:val="002433AF"/>
    <w:rsid w:val="00243710"/>
    <w:rsid w:val="00250A85"/>
    <w:rsid w:val="002519DB"/>
    <w:rsid w:val="002527FB"/>
    <w:rsid w:val="00254F1F"/>
    <w:rsid w:val="0026277E"/>
    <w:rsid w:val="00264DFB"/>
    <w:rsid w:val="0027550D"/>
    <w:rsid w:val="0028030F"/>
    <w:rsid w:val="00280367"/>
    <w:rsid w:val="00285D99"/>
    <w:rsid w:val="0028741F"/>
    <w:rsid w:val="002901A0"/>
    <w:rsid w:val="00294C16"/>
    <w:rsid w:val="00296564"/>
    <w:rsid w:val="002A4594"/>
    <w:rsid w:val="002A51E8"/>
    <w:rsid w:val="002A6BF8"/>
    <w:rsid w:val="002B616C"/>
    <w:rsid w:val="002B76EB"/>
    <w:rsid w:val="002C4C62"/>
    <w:rsid w:val="002D7EDC"/>
    <w:rsid w:val="002E513A"/>
    <w:rsid w:val="002E7B26"/>
    <w:rsid w:val="002F77CC"/>
    <w:rsid w:val="00304134"/>
    <w:rsid w:val="00304B5C"/>
    <w:rsid w:val="0031513E"/>
    <w:rsid w:val="0033029C"/>
    <w:rsid w:val="003310C5"/>
    <w:rsid w:val="003325DB"/>
    <w:rsid w:val="00335873"/>
    <w:rsid w:val="00336340"/>
    <w:rsid w:val="003410DE"/>
    <w:rsid w:val="003428FF"/>
    <w:rsid w:val="00344BB0"/>
    <w:rsid w:val="003461BD"/>
    <w:rsid w:val="00356504"/>
    <w:rsid w:val="00357E49"/>
    <w:rsid w:val="00361728"/>
    <w:rsid w:val="00365A44"/>
    <w:rsid w:val="00365E9C"/>
    <w:rsid w:val="0037119D"/>
    <w:rsid w:val="00385FE5"/>
    <w:rsid w:val="003938C2"/>
    <w:rsid w:val="00394751"/>
    <w:rsid w:val="003A3C2B"/>
    <w:rsid w:val="003A68AA"/>
    <w:rsid w:val="003B108C"/>
    <w:rsid w:val="003B2C63"/>
    <w:rsid w:val="003C1ECB"/>
    <w:rsid w:val="003D05DF"/>
    <w:rsid w:val="003D0871"/>
    <w:rsid w:val="003D0FC9"/>
    <w:rsid w:val="003D7261"/>
    <w:rsid w:val="003E02D9"/>
    <w:rsid w:val="003E4C29"/>
    <w:rsid w:val="003E7201"/>
    <w:rsid w:val="003F1858"/>
    <w:rsid w:val="003F3320"/>
    <w:rsid w:val="003F55DC"/>
    <w:rsid w:val="004000E8"/>
    <w:rsid w:val="00403700"/>
    <w:rsid w:val="00404793"/>
    <w:rsid w:val="00404BBA"/>
    <w:rsid w:val="00405B30"/>
    <w:rsid w:val="00405B70"/>
    <w:rsid w:val="004101D1"/>
    <w:rsid w:val="00411319"/>
    <w:rsid w:val="00411957"/>
    <w:rsid w:val="004177BA"/>
    <w:rsid w:val="0042098A"/>
    <w:rsid w:val="00431A1C"/>
    <w:rsid w:val="004327A6"/>
    <w:rsid w:val="00433AFD"/>
    <w:rsid w:val="00433B14"/>
    <w:rsid w:val="00442E38"/>
    <w:rsid w:val="0044430D"/>
    <w:rsid w:val="004460B3"/>
    <w:rsid w:val="00456141"/>
    <w:rsid w:val="0046344C"/>
    <w:rsid w:val="00463D79"/>
    <w:rsid w:val="00470E6D"/>
    <w:rsid w:val="00472D0B"/>
    <w:rsid w:val="0047617A"/>
    <w:rsid w:val="004768BC"/>
    <w:rsid w:val="00476EB4"/>
    <w:rsid w:val="00477433"/>
    <w:rsid w:val="00483EF9"/>
    <w:rsid w:val="0048696C"/>
    <w:rsid w:val="00487663"/>
    <w:rsid w:val="004B1A1D"/>
    <w:rsid w:val="004B22E0"/>
    <w:rsid w:val="004B6E16"/>
    <w:rsid w:val="004B7AB7"/>
    <w:rsid w:val="004C4FC5"/>
    <w:rsid w:val="004C75A3"/>
    <w:rsid w:val="004D2AA6"/>
    <w:rsid w:val="004D4DD4"/>
    <w:rsid w:val="004D63A9"/>
    <w:rsid w:val="004E43F9"/>
    <w:rsid w:val="004E4525"/>
    <w:rsid w:val="004F095F"/>
    <w:rsid w:val="004F5F95"/>
    <w:rsid w:val="005045C2"/>
    <w:rsid w:val="00505CCB"/>
    <w:rsid w:val="005073F6"/>
    <w:rsid w:val="00513F23"/>
    <w:rsid w:val="00520F1D"/>
    <w:rsid w:val="00521E94"/>
    <w:rsid w:val="005264F3"/>
    <w:rsid w:val="0053166E"/>
    <w:rsid w:val="00531C11"/>
    <w:rsid w:val="00534199"/>
    <w:rsid w:val="00534AE9"/>
    <w:rsid w:val="00534C09"/>
    <w:rsid w:val="00535DE5"/>
    <w:rsid w:val="00540B48"/>
    <w:rsid w:val="00540BDD"/>
    <w:rsid w:val="00541986"/>
    <w:rsid w:val="0054560C"/>
    <w:rsid w:val="00554C8F"/>
    <w:rsid w:val="005551BA"/>
    <w:rsid w:val="00563C64"/>
    <w:rsid w:val="005641EE"/>
    <w:rsid w:val="0056503E"/>
    <w:rsid w:val="00571EFC"/>
    <w:rsid w:val="005741AF"/>
    <w:rsid w:val="00580785"/>
    <w:rsid w:val="00581AB0"/>
    <w:rsid w:val="005828D9"/>
    <w:rsid w:val="00585808"/>
    <w:rsid w:val="00585D4C"/>
    <w:rsid w:val="00587EA3"/>
    <w:rsid w:val="00593CE8"/>
    <w:rsid w:val="0059447F"/>
    <w:rsid w:val="00596E1D"/>
    <w:rsid w:val="005A3E16"/>
    <w:rsid w:val="005A57E7"/>
    <w:rsid w:val="005B1B04"/>
    <w:rsid w:val="005B6D93"/>
    <w:rsid w:val="005C2788"/>
    <w:rsid w:val="005C3C20"/>
    <w:rsid w:val="005C5346"/>
    <w:rsid w:val="005C7865"/>
    <w:rsid w:val="005C7ACA"/>
    <w:rsid w:val="005E5AC6"/>
    <w:rsid w:val="005E7AD5"/>
    <w:rsid w:val="005F7438"/>
    <w:rsid w:val="00600D8F"/>
    <w:rsid w:val="006037D5"/>
    <w:rsid w:val="00603FE4"/>
    <w:rsid w:val="00610BE8"/>
    <w:rsid w:val="00612960"/>
    <w:rsid w:val="006133AB"/>
    <w:rsid w:val="006135A4"/>
    <w:rsid w:val="00621A52"/>
    <w:rsid w:val="0062303B"/>
    <w:rsid w:val="006241BA"/>
    <w:rsid w:val="00624FC6"/>
    <w:rsid w:val="00630267"/>
    <w:rsid w:val="00631326"/>
    <w:rsid w:val="00635011"/>
    <w:rsid w:val="006379BC"/>
    <w:rsid w:val="0064288E"/>
    <w:rsid w:val="006450D4"/>
    <w:rsid w:val="00646CC2"/>
    <w:rsid w:val="00650ED9"/>
    <w:rsid w:val="0065492F"/>
    <w:rsid w:val="00654DFE"/>
    <w:rsid w:val="00656242"/>
    <w:rsid w:val="006573E9"/>
    <w:rsid w:val="00660E10"/>
    <w:rsid w:val="006615A5"/>
    <w:rsid w:val="00664235"/>
    <w:rsid w:val="00664A10"/>
    <w:rsid w:val="00665743"/>
    <w:rsid w:val="00670045"/>
    <w:rsid w:val="00672720"/>
    <w:rsid w:val="006803FE"/>
    <w:rsid w:val="006810E7"/>
    <w:rsid w:val="00682FD7"/>
    <w:rsid w:val="00687610"/>
    <w:rsid w:val="00690F3F"/>
    <w:rsid w:val="00692237"/>
    <w:rsid w:val="006A3F26"/>
    <w:rsid w:val="006A45A3"/>
    <w:rsid w:val="006A56B0"/>
    <w:rsid w:val="006B1895"/>
    <w:rsid w:val="006B1E70"/>
    <w:rsid w:val="006B3155"/>
    <w:rsid w:val="006B753F"/>
    <w:rsid w:val="006C0BA5"/>
    <w:rsid w:val="006C14A8"/>
    <w:rsid w:val="006C71B9"/>
    <w:rsid w:val="006D487A"/>
    <w:rsid w:val="006D7716"/>
    <w:rsid w:val="006D7EED"/>
    <w:rsid w:val="006E0205"/>
    <w:rsid w:val="006E5D88"/>
    <w:rsid w:val="006E705A"/>
    <w:rsid w:val="006E7D0D"/>
    <w:rsid w:val="006F06DF"/>
    <w:rsid w:val="006F6DA7"/>
    <w:rsid w:val="007035E2"/>
    <w:rsid w:val="0071068F"/>
    <w:rsid w:val="00711AB7"/>
    <w:rsid w:val="007149CA"/>
    <w:rsid w:val="00723145"/>
    <w:rsid w:val="00725D2E"/>
    <w:rsid w:val="007304AC"/>
    <w:rsid w:val="00732C06"/>
    <w:rsid w:val="007364FB"/>
    <w:rsid w:val="00745D18"/>
    <w:rsid w:val="007534A3"/>
    <w:rsid w:val="00772ECF"/>
    <w:rsid w:val="00773537"/>
    <w:rsid w:val="0077444A"/>
    <w:rsid w:val="00785A04"/>
    <w:rsid w:val="0079768E"/>
    <w:rsid w:val="007B0DC1"/>
    <w:rsid w:val="007B4125"/>
    <w:rsid w:val="007D2BBD"/>
    <w:rsid w:val="007E5DD2"/>
    <w:rsid w:val="007F06F8"/>
    <w:rsid w:val="00802DAB"/>
    <w:rsid w:val="00802FCD"/>
    <w:rsid w:val="008067B0"/>
    <w:rsid w:val="008132D5"/>
    <w:rsid w:val="008202D2"/>
    <w:rsid w:val="00820570"/>
    <w:rsid w:val="00823CF7"/>
    <w:rsid w:val="0083184A"/>
    <w:rsid w:val="0083346B"/>
    <w:rsid w:val="00833E3C"/>
    <w:rsid w:val="00834AC1"/>
    <w:rsid w:val="00836989"/>
    <w:rsid w:val="008434FF"/>
    <w:rsid w:val="008539D8"/>
    <w:rsid w:val="008565B2"/>
    <w:rsid w:val="008615A2"/>
    <w:rsid w:val="0086533D"/>
    <w:rsid w:val="00872374"/>
    <w:rsid w:val="00873CA1"/>
    <w:rsid w:val="00876805"/>
    <w:rsid w:val="00883A32"/>
    <w:rsid w:val="00885F2C"/>
    <w:rsid w:val="00887F7D"/>
    <w:rsid w:val="008909DC"/>
    <w:rsid w:val="00891859"/>
    <w:rsid w:val="0089517E"/>
    <w:rsid w:val="00896033"/>
    <w:rsid w:val="00897AC8"/>
    <w:rsid w:val="008A04E5"/>
    <w:rsid w:val="008A0D73"/>
    <w:rsid w:val="008A2CAE"/>
    <w:rsid w:val="008B1CFD"/>
    <w:rsid w:val="008B1DF0"/>
    <w:rsid w:val="008B72B2"/>
    <w:rsid w:val="008C14BB"/>
    <w:rsid w:val="008C1CA7"/>
    <w:rsid w:val="008C212B"/>
    <w:rsid w:val="008C7328"/>
    <w:rsid w:val="008D46D6"/>
    <w:rsid w:val="008D6307"/>
    <w:rsid w:val="008E284C"/>
    <w:rsid w:val="008E5B32"/>
    <w:rsid w:val="008F0CCE"/>
    <w:rsid w:val="008F4919"/>
    <w:rsid w:val="00904D01"/>
    <w:rsid w:val="00914FF7"/>
    <w:rsid w:val="0091603C"/>
    <w:rsid w:val="00916CE6"/>
    <w:rsid w:val="00916F1D"/>
    <w:rsid w:val="00926182"/>
    <w:rsid w:val="009269EB"/>
    <w:rsid w:val="00927DAA"/>
    <w:rsid w:val="009316F4"/>
    <w:rsid w:val="00931AFD"/>
    <w:rsid w:val="009410C4"/>
    <w:rsid w:val="0094738E"/>
    <w:rsid w:val="0095402F"/>
    <w:rsid w:val="009553CD"/>
    <w:rsid w:val="00957160"/>
    <w:rsid w:val="00961DFF"/>
    <w:rsid w:val="00975DC2"/>
    <w:rsid w:val="0098061F"/>
    <w:rsid w:val="00980C0A"/>
    <w:rsid w:val="009814F9"/>
    <w:rsid w:val="0099366B"/>
    <w:rsid w:val="009940D1"/>
    <w:rsid w:val="00997305"/>
    <w:rsid w:val="0099743D"/>
    <w:rsid w:val="009A3101"/>
    <w:rsid w:val="009B126B"/>
    <w:rsid w:val="009B1F9E"/>
    <w:rsid w:val="009B3C41"/>
    <w:rsid w:val="009B531F"/>
    <w:rsid w:val="009B6073"/>
    <w:rsid w:val="009C0651"/>
    <w:rsid w:val="009C0F19"/>
    <w:rsid w:val="009C13D4"/>
    <w:rsid w:val="009D2876"/>
    <w:rsid w:val="009D6002"/>
    <w:rsid w:val="009D6DBD"/>
    <w:rsid w:val="009E0600"/>
    <w:rsid w:val="009E1377"/>
    <w:rsid w:val="009E14A0"/>
    <w:rsid w:val="009E284E"/>
    <w:rsid w:val="009E2BDE"/>
    <w:rsid w:val="009F18FF"/>
    <w:rsid w:val="009F486A"/>
    <w:rsid w:val="009F5A61"/>
    <w:rsid w:val="009F73F8"/>
    <w:rsid w:val="00A12059"/>
    <w:rsid w:val="00A166D7"/>
    <w:rsid w:val="00A33765"/>
    <w:rsid w:val="00A42C48"/>
    <w:rsid w:val="00A454EC"/>
    <w:rsid w:val="00A54FB6"/>
    <w:rsid w:val="00A55BBF"/>
    <w:rsid w:val="00A55DAC"/>
    <w:rsid w:val="00A63DFF"/>
    <w:rsid w:val="00A730B1"/>
    <w:rsid w:val="00A82F7A"/>
    <w:rsid w:val="00A84BFC"/>
    <w:rsid w:val="00AA13AE"/>
    <w:rsid w:val="00AB3390"/>
    <w:rsid w:val="00AB4F26"/>
    <w:rsid w:val="00AB5CB9"/>
    <w:rsid w:val="00AB62C5"/>
    <w:rsid w:val="00AC440E"/>
    <w:rsid w:val="00AC62CC"/>
    <w:rsid w:val="00AC6F53"/>
    <w:rsid w:val="00AD179C"/>
    <w:rsid w:val="00AD7CFC"/>
    <w:rsid w:val="00AD7DA0"/>
    <w:rsid w:val="00AF03C5"/>
    <w:rsid w:val="00AF3473"/>
    <w:rsid w:val="00AF7252"/>
    <w:rsid w:val="00B04935"/>
    <w:rsid w:val="00B06111"/>
    <w:rsid w:val="00B07DB8"/>
    <w:rsid w:val="00B220B8"/>
    <w:rsid w:val="00B32BF2"/>
    <w:rsid w:val="00B32FF7"/>
    <w:rsid w:val="00B405BF"/>
    <w:rsid w:val="00B4067F"/>
    <w:rsid w:val="00B436ED"/>
    <w:rsid w:val="00B44F34"/>
    <w:rsid w:val="00B524F3"/>
    <w:rsid w:val="00B544DD"/>
    <w:rsid w:val="00B54AE1"/>
    <w:rsid w:val="00B601B7"/>
    <w:rsid w:val="00B610BC"/>
    <w:rsid w:val="00B62A55"/>
    <w:rsid w:val="00B63F48"/>
    <w:rsid w:val="00B66851"/>
    <w:rsid w:val="00B7218C"/>
    <w:rsid w:val="00B73341"/>
    <w:rsid w:val="00B761AE"/>
    <w:rsid w:val="00B77673"/>
    <w:rsid w:val="00B81526"/>
    <w:rsid w:val="00B826C1"/>
    <w:rsid w:val="00B84550"/>
    <w:rsid w:val="00B86752"/>
    <w:rsid w:val="00B97630"/>
    <w:rsid w:val="00BA1034"/>
    <w:rsid w:val="00BA5EF2"/>
    <w:rsid w:val="00BB1ACC"/>
    <w:rsid w:val="00BB22B4"/>
    <w:rsid w:val="00BB2950"/>
    <w:rsid w:val="00BB3D3A"/>
    <w:rsid w:val="00BC2B67"/>
    <w:rsid w:val="00BC4DAA"/>
    <w:rsid w:val="00BC582A"/>
    <w:rsid w:val="00BC6D8C"/>
    <w:rsid w:val="00BE354E"/>
    <w:rsid w:val="00BE71DD"/>
    <w:rsid w:val="00BF1BCB"/>
    <w:rsid w:val="00BF1D33"/>
    <w:rsid w:val="00BF650B"/>
    <w:rsid w:val="00C0157A"/>
    <w:rsid w:val="00C15520"/>
    <w:rsid w:val="00C15E94"/>
    <w:rsid w:val="00C17169"/>
    <w:rsid w:val="00C24175"/>
    <w:rsid w:val="00C25DDF"/>
    <w:rsid w:val="00C32B4D"/>
    <w:rsid w:val="00C37192"/>
    <w:rsid w:val="00C414B6"/>
    <w:rsid w:val="00C4341A"/>
    <w:rsid w:val="00C471DB"/>
    <w:rsid w:val="00C50495"/>
    <w:rsid w:val="00C511A4"/>
    <w:rsid w:val="00C5318D"/>
    <w:rsid w:val="00C60A3A"/>
    <w:rsid w:val="00C62436"/>
    <w:rsid w:val="00C66A09"/>
    <w:rsid w:val="00C72FCC"/>
    <w:rsid w:val="00C74B90"/>
    <w:rsid w:val="00C74D97"/>
    <w:rsid w:val="00C74D9E"/>
    <w:rsid w:val="00C7632C"/>
    <w:rsid w:val="00C8141B"/>
    <w:rsid w:val="00C84A5D"/>
    <w:rsid w:val="00C86B0B"/>
    <w:rsid w:val="00C917B9"/>
    <w:rsid w:val="00C941AB"/>
    <w:rsid w:val="00CA311D"/>
    <w:rsid w:val="00CA3372"/>
    <w:rsid w:val="00CA78DC"/>
    <w:rsid w:val="00CB24BD"/>
    <w:rsid w:val="00CC5CDE"/>
    <w:rsid w:val="00CC6C42"/>
    <w:rsid w:val="00CE0E0A"/>
    <w:rsid w:val="00CE1441"/>
    <w:rsid w:val="00CE5E2F"/>
    <w:rsid w:val="00CF1D69"/>
    <w:rsid w:val="00CF1E28"/>
    <w:rsid w:val="00D05657"/>
    <w:rsid w:val="00D069EC"/>
    <w:rsid w:val="00D10335"/>
    <w:rsid w:val="00D11052"/>
    <w:rsid w:val="00D13071"/>
    <w:rsid w:val="00D140D9"/>
    <w:rsid w:val="00D21A78"/>
    <w:rsid w:val="00D223C6"/>
    <w:rsid w:val="00D22D0F"/>
    <w:rsid w:val="00D24192"/>
    <w:rsid w:val="00D41081"/>
    <w:rsid w:val="00D4164A"/>
    <w:rsid w:val="00D50090"/>
    <w:rsid w:val="00D57E3E"/>
    <w:rsid w:val="00D6022B"/>
    <w:rsid w:val="00D606A3"/>
    <w:rsid w:val="00D61E9C"/>
    <w:rsid w:val="00D62010"/>
    <w:rsid w:val="00D6653F"/>
    <w:rsid w:val="00D73496"/>
    <w:rsid w:val="00D7533B"/>
    <w:rsid w:val="00D75B40"/>
    <w:rsid w:val="00D77EA4"/>
    <w:rsid w:val="00D85584"/>
    <w:rsid w:val="00D85CE5"/>
    <w:rsid w:val="00D8613E"/>
    <w:rsid w:val="00D907F7"/>
    <w:rsid w:val="00D92159"/>
    <w:rsid w:val="00D951D1"/>
    <w:rsid w:val="00D977A3"/>
    <w:rsid w:val="00DB065C"/>
    <w:rsid w:val="00DC5B54"/>
    <w:rsid w:val="00DC6A35"/>
    <w:rsid w:val="00DC71A8"/>
    <w:rsid w:val="00DD2589"/>
    <w:rsid w:val="00DD693D"/>
    <w:rsid w:val="00DD7603"/>
    <w:rsid w:val="00DE3411"/>
    <w:rsid w:val="00DE575B"/>
    <w:rsid w:val="00DE7CCB"/>
    <w:rsid w:val="00DF0257"/>
    <w:rsid w:val="00DF117A"/>
    <w:rsid w:val="00DF1BD4"/>
    <w:rsid w:val="00DF416A"/>
    <w:rsid w:val="00DF6BAF"/>
    <w:rsid w:val="00DF7BA0"/>
    <w:rsid w:val="00DF7E7D"/>
    <w:rsid w:val="00E0311C"/>
    <w:rsid w:val="00E1000B"/>
    <w:rsid w:val="00E120EE"/>
    <w:rsid w:val="00E14227"/>
    <w:rsid w:val="00E14BC0"/>
    <w:rsid w:val="00E160BE"/>
    <w:rsid w:val="00E232C6"/>
    <w:rsid w:val="00E3181F"/>
    <w:rsid w:val="00E42F57"/>
    <w:rsid w:val="00E521C9"/>
    <w:rsid w:val="00E55465"/>
    <w:rsid w:val="00E61735"/>
    <w:rsid w:val="00E61D67"/>
    <w:rsid w:val="00E6465F"/>
    <w:rsid w:val="00E66EE1"/>
    <w:rsid w:val="00E71420"/>
    <w:rsid w:val="00E8555A"/>
    <w:rsid w:val="00E95F79"/>
    <w:rsid w:val="00EA3400"/>
    <w:rsid w:val="00EA4A9F"/>
    <w:rsid w:val="00EB5F60"/>
    <w:rsid w:val="00EB603E"/>
    <w:rsid w:val="00EC28B7"/>
    <w:rsid w:val="00EC597B"/>
    <w:rsid w:val="00ED100F"/>
    <w:rsid w:val="00ED2A31"/>
    <w:rsid w:val="00ED41E0"/>
    <w:rsid w:val="00ED421C"/>
    <w:rsid w:val="00ED660E"/>
    <w:rsid w:val="00ED726C"/>
    <w:rsid w:val="00ED787F"/>
    <w:rsid w:val="00EE73DA"/>
    <w:rsid w:val="00EF0CF3"/>
    <w:rsid w:val="00F00E3A"/>
    <w:rsid w:val="00F02794"/>
    <w:rsid w:val="00F05A27"/>
    <w:rsid w:val="00F12284"/>
    <w:rsid w:val="00F13138"/>
    <w:rsid w:val="00F2019E"/>
    <w:rsid w:val="00F222AB"/>
    <w:rsid w:val="00F23F0D"/>
    <w:rsid w:val="00F26EA6"/>
    <w:rsid w:val="00F328FF"/>
    <w:rsid w:val="00F35288"/>
    <w:rsid w:val="00F40933"/>
    <w:rsid w:val="00F422C8"/>
    <w:rsid w:val="00F45A68"/>
    <w:rsid w:val="00F47DC9"/>
    <w:rsid w:val="00F521CF"/>
    <w:rsid w:val="00F527FF"/>
    <w:rsid w:val="00F528E7"/>
    <w:rsid w:val="00F569B7"/>
    <w:rsid w:val="00F64D15"/>
    <w:rsid w:val="00F655FD"/>
    <w:rsid w:val="00F65AE4"/>
    <w:rsid w:val="00F66EE9"/>
    <w:rsid w:val="00F74EC7"/>
    <w:rsid w:val="00F75FEF"/>
    <w:rsid w:val="00F7638F"/>
    <w:rsid w:val="00F763FA"/>
    <w:rsid w:val="00F81278"/>
    <w:rsid w:val="00F81C90"/>
    <w:rsid w:val="00F82F0B"/>
    <w:rsid w:val="00F850A1"/>
    <w:rsid w:val="00F90078"/>
    <w:rsid w:val="00F96681"/>
    <w:rsid w:val="00FA3512"/>
    <w:rsid w:val="00FA3D9F"/>
    <w:rsid w:val="00FB36CE"/>
    <w:rsid w:val="00FB3719"/>
    <w:rsid w:val="00FB4F6D"/>
    <w:rsid w:val="00FC1ABE"/>
    <w:rsid w:val="00FC2A24"/>
    <w:rsid w:val="00FC3548"/>
    <w:rsid w:val="00FC5336"/>
    <w:rsid w:val="00FC5BCD"/>
    <w:rsid w:val="00FC6016"/>
    <w:rsid w:val="00FC6E55"/>
    <w:rsid w:val="00FD1A42"/>
    <w:rsid w:val="00FD1E22"/>
    <w:rsid w:val="00FD5332"/>
    <w:rsid w:val="00FE0200"/>
    <w:rsid w:val="00FE4CB1"/>
    <w:rsid w:val="00FF1AA1"/>
    <w:rsid w:val="00FF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C24"/>
  <w15:chartTrackingRefBased/>
  <w15:docId w15:val="{974A83AF-8118-4FD2-83EE-DEF4BC68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9DC"/>
    <w:rPr>
      <w:rFonts w:ascii="Book Antiqua" w:hAnsi="Book Antiqua"/>
    </w:rPr>
  </w:style>
  <w:style w:type="paragraph" w:styleId="Heading1">
    <w:name w:val="heading 1"/>
    <w:basedOn w:val="Normal"/>
    <w:next w:val="Normal"/>
    <w:link w:val="Heading1Char"/>
    <w:uiPriority w:val="9"/>
    <w:qFormat/>
    <w:rsid w:val="008909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DV Subtitle - Heading 2"/>
    <w:basedOn w:val="Normal"/>
    <w:next w:val="Normal"/>
    <w:link w:val="Heading2Char"/>
    <w:uiPriority w:val="9"/>
    <w:unhideWhenUsed/>
    <w:qFormat/>
    <w:rsid w:val="008909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09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9DC"/>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DV Subtitle - Heading 2 Char"/>
    <w:basedOn w:val="DefaultParagraphFont"/>
    <w:link w:val="Heading2"/>
    <w:uiPriority w:val="9"/>
    <w:rsid w:val="008909DC"/>
    <w:rPr>
      <w:rFonts w:asciiTheme="majorHAnsi" w:eastAsiaTheme="majorEastAsia" w:hAnsiTheme="majorHAnsi" w:cstheme="majorBidi"/>
      <w:color w:val="2F5496" w:themeColor="accent1" w:themeShade="BF"/>
      <w:sz w:val="26"/>
      <w:szCs w:val="26"/>
    </w:rPr>
  </w:style>
  <w:style w:type="paragraph" w:customStyle="1" w:styleId="Default">
    <w:name w:val="Default"/>
    <w:rsid w:val="00C24175"/>
    <w:pPr>
      <w:autoSpaceDE w:val="0"/>
      <w:autoSpaceDN w:val="0"/>
      <w:adjustRightInd w:val="0"/>
      <w:spacing w:after="0" w:line="240" w:lineRule="auto"/>
    </w:pPr>
    <w:rPr>
      <w:rFonts w:ascii="Times New Roman" w:hAnsi="Times New Roman" w:cs="Calibri"/>
      <w:color w:val="000000"/>
      <w:sz w:val="24"/>
      <w:szCs w:val="24"/>
    </w:rPr>
  </w:style>
  <w:style w:type="paragraph" w:styleId="TOC1">
    <w:name w:val="toc 1"/>
    <w:basedOn w:val="Normal"/>
    <w:next w:val="Normal"/>
    <w:autoRedefine/>
    <w:uiPriority w:val="39"/>
    <w:semiHidden/>
    <w:unhideWhenUsed/>
    <w:rsid w:val="008909DC"/>
    <w:pPr>
      <w:spacing w:after="100"/>
    </w:pPr>
  </w:style>
  <w:style w:type="character" w:styleId="Hyperlink">
    <w:name w:val="Hyperlink"/>
    <w:basedOn w:val="DefaultParagraphFont"/>
    <w:uiPriority w:val="99"/>
    <w:unhideWhenUsed/>
    <w:rsid w:val="008909DC"/>
    <w:rPr>
      <w:color w:val="0563C1" w:themeColor="hyperlink"/>
      <w:u w:val="single"/>
    </w:rPr>
  </w:style>
  <w:style w:type="paragraph" w:styleId="TOCHeading">
    <w:name w:val="TOC Heading"/>
    <w:basedOn w:val="Heading1"/>
    <w:next w:val="Normal"/>
    <w:uiPriority w:val="39"/>
    <w:semiHidden/>
    <w:unhideWhenUsed/>
    <w:qFormat/>
    <w:rsid w:val="008909DC"/>
    <w:pPr>
      <w:outlineLvl w:val="9"/>
    </w:pPr>
  </w:style>
  <w:style w:type="character" w:styleId="UnresolvedMention">
    <w:name w:val="Unresolved Mention"/>
    <w:basedOn w:val="DefaultParagraphFont"/>
    <w:uiPriority w:val="99"/>
    <w:semiHidden/>
    <w:unhideWhenUsed/>
    <w:rsid w:val="008909DC"/>
    <w:rPr>
      <w:color w:val="605E5C"/>
      <w:shd w:val="clear" w:color="auto" w:fill="E1DFDD"/>
    </w:rPr>
  </w:style>
  <w:style w:type="character" w:customStyle="1" w:styleId="Heading3Char">
    <w:name w:val="Heading 3 Char"/>
    <w:basedOn w:val="DefaultParagraphFont"/>
    <w:link w:val="Heading3"/>
    <w:uiPriority w:val="9"/>
    <w:rsid w:val="008909D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90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9DC"/>
    <w:rPr>
      <w:rFonts w:ascii="Book Antiqua" w:hAnsi="Book Antiqua"/>
    </w:rPr>
  </w:style>
  <w:style w:type="paragraph" w:styleId="Footer">
    <w:name w:val="footer"/>
    <w:basedOn w:val="Normal"/>
    <w:link w:val="FooterChar"/>
    <w:uiPriority w:val="99"/>
    <w:unhideWhenUsed/>
    <w:rsid w:val="00890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DC"/>
    <w:rPr>
      <w:rFonts w:ascii="Book Antiqua" w:hAnsi="Book Antiqua"/>
    </w:rPr>
  </w:style>
  <w:style w:type="paragraph" w:styleId="ListParagraph">
    <w:name w:val="List Paragraph"/>
    <w:basedOn w:val="Normal"/>
    <w:uiPriority w:val="34"/>
    <w:qFormat/>
    <w:rsid w:val="008909DC"/>
    <w:pPr>
      <w:ind w:left="720"/>
      <w:contextualSpacing/>
    </w:pPr>
  </w:style>
  <w:style w:type="paragraph" w:styleId="TOC2">
    <w:name w:val="toc 2"/>
    <w:basedOn w:val="Normal"/>
    <w:next w:val="Normal"/>
    <w:autoRedefine/>
    <w:uiPriority w:val="39"/>
    <w:semiHidden/>
    <w:unhideWhenUsed/>
    <w:rsid w:val="008909DC"/>
    <w:pPr>
      <w:spacing w:after="100"/>
      <w:ind w:left="220"/>
    </w:pPr>
  </w:style>
  <w:style w:type="paragraph" w:styleId="NoSpacing">
    <w:name w:val="No Spacing"/>
    <w:link w:val="NoSpacingChar"/>
    <w:uiPriority w:val="1"/>
    <w:qFormat/>
    <w:rsid w:val="008909DC"/>
    <w:pPr>
      <w:spacing w:after="0" w:line="240" w:lineRule="auto"/>
    </w:pPr>
    <w:rPr>
      <w:rFonts w:ascii="Times New Roman" w:hAnsi="Times New Roman"/>
    </w:rPr>
  </w:style>
  <w:style w:type="character" w:customStyle="1" w:styleId="normaltextrun">
    <w:name w:val="normaltextrun"/>
    <w:basedOn w:val="DefaultParagraphFont"/>
    <w:rsid w:val="00C24175"/>
  </w:style>
  <w:style w:type="paragraph" w:customStyle="1" w:styleId="paragraph">
    <w:name w:val="paragraph"/>
    <w:basedOn w:val="Normal"/>
    <w:rsid w:val="00C24175"/>
    <w:pPr>
      <w:spacing w:before="100" w:beforeAutospacing="1" w:after="100" w:afterAutospacing="1" w:line="240" w:lineRule="auto"/>
    </w:pPr>
    <w:rPr>
      <w:rFonts w:eastAsia="Times New Roman" w:cs="Times New Roman"/>
      <w:sz w:val="24"/>
      <w:szCs w:val="24"/>
    </w:rPr>
  </w:style>
  <w:style w:type="character" w:customStyle="1" w:styleId="eop">
    <w:name w:val="eop"/>
    <w:basedOn w:val="DefaultParagraphFont"/>
    <w:rsid w:val="00C24175"/>
  </w:style>
  <w:style w:type="character" w:customStyle="1" w:styleId="spellingerror">
    <w:name w:val="spellingerror"/>
    <w:basedOn w:val="DefaultParagraphFont"/>
    <w:rsid w:val="00C24175"/>
  </w:style>
  <w:style w:type="character" w:customStyle="1" w:styleId="scx154904700">
    <w:name w:val="scx154904700"/>
    <w:basedOn w:val="DefaultParagraphFont"/>
    <w:rsid w:val="00C24175"/>
  </w:style>
  <w:style w:type="paragraph" w:customStyle="1" w:styleId="subsection">
    <w:name w:val="subsection"/>
    <w:basedOn w:val="Normal"/>
    <w:rsid w:val="00C2417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8909D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890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9DC"/>
    <w:rPr>
      <w:rFonts w:ascii="Segoe UI" w:hAnsi="Segoe UI" w:cs="Segoe UI"/>
      <w:sz w:val="18"/>
      <w:szCs w:val="18"/>
    </w:rPr>
  </w:style>
  <w:style w:type="character" w:customStyle="1" w:styleId="NoSpacingChar">
    <w:name w:val="No Spacing Char"/>
    <w:basedOn w:val="DefaultParagraphFont"/>
    <w:link w:val="NoSpacing"/>
    <w:uiPriority w:val="1"/>
    <w:rsid w:val="008909DC"/>
    <w:rPr>
      <w:rFonts w:ascii="Times New Roman" w:hAnsi="Times New Roman"/>
    </w:rPr>
  </w:style>
  <w:style w:type="character" w:styleId="Strong">
    <w:name w:val="Strong"/>
    <w:basedOn w:val="DefaultParagraphFont"/>
    <w:uiPriority w:val="22"/>
    <w:qFormat/>
    <w:rsid w:val="008909DC"/>
    <w:rPr>
      <w:b/>
      <w:bCs/>
    </w:rPr>
  </w:style>
  <w:style w:type="table" w:styleId="TableGrid">
    <w:name w:val="Table Grid"/>
    <w:basedOn w:val="TableNormal"/>
    <w:uiPriority w:val="39"/>
    <w:rsid w:val="006B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2B4D"/>
    <w:rPr>
      <w:sz w:val="16"/>
      <w:szCs w:val="16"/>
    </w:rPr>
  </w:style>
  <w:style w:type="paragraph" w:styleId="CommentText">
    <w:name w:val="annotation text"/>
    <w:basedOn w:val="Normal"/>
    <w:link w:val="CommentTextChar"/>
    <w:uiPriority w:val="99"/>
    <w:unhideWhenUsed/>
    <w:rsid w:val="00C32B4D"/>
    <w:pPr>
      <w:spacing w:line="240" w:lineRule="auto"/>
    </w:pPr>
    <w:rPr>
      <w:sz w:val="20"/>
      <w:szCs w:val="20"/>
    </w:rPr>
  </w:style>
  <w:style w:type="character" w:customStyle="1" w:styleId="CommentTextChar">
    <w:name w:val="Comment Text Char"/>
    <w:basedOn w:val="DefaultParagraphFont"/>
    <w:link w:val="CommentText"/>
    <w:uiPriority w:val="99"/>
    <w:rsid w:val="00C32B4D"/>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C32B4D"/>
    <w:rPr>
      <w:b/>
      <w:bCs/>
    </w:rPr>
  </w:style>
  <w:style w:type="character" w:customStyle="1" w:styleId="CommentSubjectChar">
    <w:name w:val="Comment Subject Char"/>
    <w:basedOn w:val="CommentTextChar"/>
    <w:link w:val="CommentSubject"/>
    <w:uiPriority w:val="99"/>
    <w:semiHidden/>
    <w:rsid w:val="00C32B4D"/>
    <w:rPr>
      <w:rFonts w:ascii="Book Antiqua" w:hAnsi="Book Antiqua"/>
      <w:b/>
      <w:bCs/>
      <w:sz w:val="20"/>
      <w:szCs w:val="20"/>
    </w:rPr>
  </w:style>
  <w:style w:type="paragraph" w:styleId="Revision">
    <w:name w:val="Revision"/>
    <w:hidden/>
    <w:uiPriority w:val="99"/>
    <w:semiHidden/>
    <w:rsid w:val="00096584"/>
    <w:pPr>
      <w:spacing w:after="0" w:line="240" w:lineRule="auto"/>
    </w:pPr>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8162">
      <w:bodyDiv w:val="1"/>
      <w:marLeft w:val="0"/>
      <w:marRight w:val="0"/>
      <w:marTop w:val="0"/>
      <w:marBottom w:val="0"/>
      <w:divBdr>
        <w:top w:val="none" w:sz="0" w:space="0" w:color="auto"/>
        <w:left w:val="none" w:sz="0" w:space="0" w:color="auto"/>
        <w:bottom w:val="none" w:sz="0" w:space="0" w:color="auto"/>
        <w:right w:val="none" w:sz="0" w:space="0" w:color="auto"/>
      </w:divBdr>
    </w:div>
    <w:div w:id="303002654">
      <w:bodyDiv w:val="1"/>
      <w:marLeft w:val="0"/>
      <w:marRight w:val="0"/>
      <w:marTop w:val="0"/>
      <w:marBottom w:val="0"/>
      <w:divBdr>
        <w:top w:val="none" w:sz="0" w:space="0" w:color="auto"/>
        <w:left w:val="none" w:sz="0" w:space="0" w:color="auto"/>
        <w:bottom w:val="none" w:sz="0" w:space="0" w:color="auto"/>
        <w:right w:val="none" w:sz="0" w:space="0" w:color="auto"/>
      </w:divBdr>
    </w:div>
    <w:div w:id="363870398">
      <w:bodyDiv w:val="1"/>
      <w:marLeft w:val="0"/>
      <w:marRight w:val="0"/>
      <w:marTop w:val="0"/>
      <w:marBottom w:val="0"/>
      <w:divBdr>
        <w:top w:val="none" w:sz="0" w:space="0" w:color="auto"/>
        <w:left w:val="none" w:sz="0" w:space="0" w:color="auto"/>
        <w:bottom w:val="none" w:sz="0" w:space="0" w:color="auto"/>
        <w:right w:val="none" w:sz="0" w:space="0" w:color="auto"/>
      </w:divBdr>
    </w:div>
    <w:div w:id="624653147">
      <w:bodyDiv w:val="1"/>
      <w:marLeft w:val="0"/>
      <w:marRight w:val="0"/>
      <w:marTop w:val="0"/>
      <w:marBottom w:val="0"/>
      <w:divBdr>
        <w:top w:val="none" w:sz="0" w:space="0" w:color="auto"/>
        <w:left w:val="none" w:sz="0" w:space="0" w:color="auto"/>
        <w:bottom w:val="none" w:sz="0" w:space="0" w:color="auto"/>
        <w:right w:val="none" w:sz="0" w:space="0" w:color="auto"/>
      </w:divBdr>
    </w:div>
    <w:div w:id="1108770298">
      <w:bodyDiv w:val="1"/>
      <w:marLeft w:val="0"/>
      <w:marRight w:val="0"/>
      <w:marTop w:val="0"/>
      <w:marBottom w:val="0"/>
      <w:divBdr>
        <w:top w:val="none" w:sz="0" w:space="0" w:color="auto"/>
        <w:left w:val="none" w:sz="0" w:space="0" w:color="auto"/>
        <w:bottom w:val="none" w:sz="0" w:space="0" w:color="auto"/>
        <w:right w:val="none" w:sz="0" w:space="0" w:color="auto"/>
      </w:divBdr>
    </w:div>
    <w:div w:id="1250770728">
      <w:bodyDiv w:val="1"/>
      <w:marLeft w:val="0"/>
      <w:marRight w:val="0"/>
      <w:marTop w:val="0"/>
      <w:marBottom w:val="0"/>
      <w:divBdr>
        <w:top w:val="none" w:sz="0" w:space="0" w:color="auto"/>
        <w:left w:val="none" w:sz="0" w:space="0" w:color="auto"/>
        <w:bottom w:val="none" w:sz="0" w:space="0" w:color="auto"/>
        <w:right w:val="none" w:sz="0" w:space="0" w:color="auto"/>
      </w:divBdr>
    </w:div>
    <w:div w:id="13521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0C561-2DDC-483C-8947-053824AA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3316</Words>
  <Characters>18273</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Mallory</dc:creator>
  <cp:keywords/>
  <dc:description/>
  <cp:lastModifiedBy>John  Robinson</cp:lastModifiedBy>
  <cp:revision>4</cp:revision>
  <dcterms:created xsi:type="dcterms:W3CDTF">2025-08-18T20:40:00Z</dcterms:created>
  <dcterms:modified xsi:type="dcterms:W3CDTF">2025-10-07T20:40:00Z</dcterms:modified>
</cp:coreProperties>
</file>